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52" w:rsidRPr="000225CC" w:rsidRDefault="00096552" w:rsidP="00096552">
      <w:pPr>
        <w:rPr>
          <w:rFonts w:ascii="Times New Roman" w:hAnsi="Times New Roman"/>
          <w:sz w:val="24"/>
        </w:rPr>
      </w:pPr>
      <w:r w:rsidRPr="000225CC">
        <w:rPr>
          <w:rFonts w:ascii="Times New Roman" w:hAnsi="Times New Roman"/>
          <w:sz w:val="24"/>
        </w:rPr>
        <w:t>RAISI</w:t>
      </w:r>
      <w:r>
        <w:rPr>
          <w:rFonts w:ascii="Times New Roman" w:hAnsi="Times New Roman"/>
          <w:sz w:val="24"/>
        </w:rPr>
        <w:t>NG CAPITAL THROUGH PRIVATE PLACEMENTS</w:t>
      </w:r>
      <w:r w:rsidRPr="000225CC">
        <w:rPr>
          <w:rFonts w:ascii="Times New Roman" w:hAnsi="Times New Roman"/>
          <w:sz w:val="24"/>
        </w:rPr>
        <w:t>:  DEAL POINTS</w:t>
      </w:r>
      <w:r>
        <w:rPr>
          <w:rFonts w:ascii="Times New Roman" w:hAnsi="Times New Roman"/>
          <w:sz w:val="24"/>
        </w:rPr>
        <w:t xml:space="preserve"> (Revised and Expanded)</w:t>
      </w:r>
    </w:p>
    <w:p w:rsidR="00096552" w:rsidRPr="000225CC" w:rsidRDefault="00096552" w:rsidP="00096552">
      <w:pPr>
        <w:jc w:val="both"/>
        <w:rPr>
          <w:rFonts w:ascii="Times New Roman" w:hAnsi="Times New Roman"/>
          <w:sz w:val="24"/>
        </w:rPr>
      </w:pPr>
    </w:p>
    <w:p w:rsidR="00096552" w:rsidRDefault="00096552" w:rsidP="00096552">
      <w:pPr>
        <w:jc w:val="both"/>
        <w:rPr>
          <w:rFonts w:ascii="Times New Roman" w:hAnsi="Times New Roman"/>
          <w:sz w:val="24"/>
        </w:rPr>
      </w:pPr>
      <w:r>
        <w:rPr>
          <w:rFonts w:ascii="Times New Roman" w:hAnsi="Times New Roman"/>
          <w:sz w:val="24"/>
        </w:rPr>
        <w:t xml:space="preserve">January </w:t>
      </w:r>
      <w:r w:rsidRPr="000225CC">
        <w:rPr>
          <w:rFonts w:ascii="Times New Roman" w:hAnsi="Times New Roman"/>
          <w:sz w:val="24"/>
        </w:rPr>
        <w:t>201</w:t>
      </w:r>
      <w:r>
        <w:rPr>
          <w:rFonts w:ascii="Times New Roman" w:hAnsi="Times New Roman"/>
          <w:sz w:val="24"/>
        </w:rPr>
        <w:t>8</w:t>
      </w:r>
    </w:p>
    <w:p w:rsidR="005F2F2C" w:rsidRDefault="005F2F2C" w:rsidP="00096552">
      <w:pPr>
        <w:jc w:val="both"/>
        <w:rPr>
          <w:rFonts w:ascii="Times New Roman" w:hAnsi="Times New Roman"/>
          <w:sz w:val="24"/>
        </w:rPr>
      </w:pPr>
    </w:p>
    <w:p w:rsidR="001E72BE" w:rsidRDefault="001E72BE" w:rsidP="00096552">
      <w:pPr>
        <w:jc w:val="both"/>
        <w:rPr>
          <w:rFonts w:ascii="Times New Roman" w:hAnsi="Times New Roman"/>
          <w:sz w:val="24"/>
        </w:rPr>
      </w:pPr>
    </w:p>
    <w:p w:rsidR="001E72BE" w:rsidRDefault="001E72BE" w:rsidP="00096552">
      <w:pPr>
        <w:jc w:val="both"/>
        <w:rPr>
          <w:rFonts w:ascii="Times New Roman" w:hAnsi="Times New Roman"/>
          <w:sz w:val="24"/>
        </w:rPr>
      </w:pPr>
      <w:r w:rsidRPr="001E72BE">
        <w:rPr>
          <w:rFonts w:ascii="Times New Roman" w:hAnsi="Times New Roman"/>
          <w:noProof/>
          <w:sz w:val="24"/>
        </w:rPr>
        <mc:AlternateContent>
          <mc:Choice Requires="wps">
            <w:drawing>
              <wp:anchor distT="0" distB="0" distL="114300" distR="114300" simplePos="0" relativeHeight="251659264" behindDoc="0" locked="0" layoutInCell="1" allowOverlap="1" wp14:anchorId="2D114FE9" wp14:editId="0C3373E4">
                <wp:simplePos x="0" y="0"/>
                <wp:positionH relativeFrom="column">
                  <wp:align>center</wp:align>
                </wp:positionH>
                <wp:positionV relativeFrom="paragraph">
                  <wp:posOffset>0</wp:posOffset>
                </wp:positionV>
                <wp:extent cx="4795520" cy="1127760"/>
                <wp:effectExtent l="0" t="0" r="241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127760"/>
                        </a:xfrm>
                        <a:prstGeom prst="rect">
                          <a:avLst/>
                        </a:prstGeom>
                        <a:solidFill>
                          <a:srgbClr val="FFFFFF"/>
                        </a:solidFill>
                        <a:ln w="9525">
                          <a:solidFill>
                            <a:srgbClr val="000000"/>
                          </a:solidFill>
                          <a:miter lim="800000"/>
                          <a:headEnd/>
                          <a:tailEnd/>
                        </a:ln>
                      </wps:spPr>
                      <wps:txbx>
                        <w:txbxContent>
                          <w:p w:rsidR="009635AF" w:rsidRPr="00C377B4" w:rsidRDefault="009635AF">
                            <w:pPr>
                              <w:rPr>
                                <w:rFonts w:ascii="Times New Roman" w:hAnsi="Times New Roman"/>
                                <w:b/>
                                <w:sz w:val="24"/>
                              </w:rPr>
                            </w:pPr>
                            <w:r w:rsidRPr="00C377B4">
                              <w:rPr>
                                <w:rFonts w:ascii="Times New Roman" w:hAnsi="Times New Roman"/>
                                <w:b/>
                                <w:sz w:val="24"/>
                              </w:rPr>
                              <w:t>2017 Developments Included:</w:t>
                            </w:r>
                          </w:p>
                          <w:p w:rsidR="009635AF" w:rsidRPr="00C377B4" w:rsidRDefault="009635AF">
                            <w:pPr>
                              <w:rPr>
                                <w:rFonts w:ascii="Times New Roman" w:hAnsi="Times New Roman"/>
                                <w:b/>
                                <w:sz w:val="24"/>
                              </w:rPr>
                            </w:pPr>
                          </w:p>
                          <w:p w:rsidR="009635AF" w:rsidRPr="00C377B4" w:rsidRDefault="009635AF" w:rsidP="00C377B4">
                            <w:pPr>
                              <w:pStyle w:val="ListParagraph"/>
                              <w:numPr>
                                <w:ilvl w:val="0"/>
                                <w:numId w:val="12"/>
                              </w:numPr>
                              <w:rPr>
                                <w:rFonts w:ascii="Times New Roman" w:hAnsi="Times New Roman"/>
                                <w:b/>
                                <w:sz w:val="24"/>
                              </w:rPr>
                            </w:pPr>
                            <w:r w:rsidRPr="00C377B4">
                              <w:rPr>
                                <w:rFonts w:ascii="Times New Roman" w:hAnsi="Times New Roman"/>
                                <w:b/>
                                <w:sz w:val="24"/>
                              </w:rPr>
                              <w:t>Regulation D, Rule 504 Amendments and Repeal of Rule 505</w:t>
                            </w:r>
                          </w:p>
                          <w:p w:rsidR="009635AF" w:rsidRPr="00C377B4" w:rsidRDefault="009635AF" w:rsidP="00C377B4">
                            <w:pPr>
                              <w:pStyle w:val="ListParagraph"/>
                              <w:numPr>
                                <w:ilvl w:val="0"/>
                                <w:numId w:val="12"/>
                              </w:numPr>
                              <w:rPr>
                                <w:rFonts w:ascii="Times New Roman" w:hAnsi="Times New Roman"/>
                                <w:b/>
                                <w:sz w:val="24"/>
                              </w:rPr>
                            </w:pPr>
                            <w:r w:rsidRPr="00C377B4">
                              <w:rPr>
                                <w:rFonts w:ascii="Times New Roman" w:hAnsi="Times New Roman"/>
                                <w:b/>
                                <w:sz w:val="24"/>
                              </w:rPr>
                              <w:t>Rule 147 Amendments and New Rule 147A</w:t>
                            </w:r>
                          </w:p>
                          <w:p w:rsidR="009635AF" w:rsidRPr="00C377B4" w:rsidRDefault="009635AF" w:rsidP="00C377B4">
                            <w:pPr>
                              <w:pStyle w:val="ListParagraph"/>
                              <w:numPr>
                                <w:ilvl w:val="0"/>
                                <w:numId w:val="12"/>
                              </w:numPr>
                              <w:rPr>
                                <w:rFonts w:ascii="Times New Roman" w:hAnsi="Times New Roman"/>
                                <w:b/>
                                <w:sz w:val="24"/>
                              </w:rPr>
                            </w:pPr>
                            <w:r w:rsidRPr="00C377B4">
                              <w:rPr>
                                <w:rFonts w:ascii="Times New Roman" w:hAnsi="Times New Roman"/>
                                <w:b/>
                                <w:sz w:val="24"/>
                              </w:rPr>
                              <w:t>SEC Metrics on use of Securities Act Registration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7.6pt;height:88.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oC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">
                <v:textbox>
                  <w:txbxContent>
                    <w:p w:rsidR="009635AF" w:rsidRPr="00C377B4" w:rsidRDefault="009635AF">
                      <w:pPr>
                        <w:rPr>
                          <w:rFonts w:ascii="Times New Roman" w:hAnsi="Times New Roman"/>
                          <w:b/>
                          <w:sz w:val="24"/>
                        </w:rPr>
                      </w:pPr>
                      <w:r w:rsidRPr="00C377B4">
                        <w:rPr>
                          <w:rFonts w:ascii="Times New Roman" w:hAnsi="Times New Roman"/>
                          <w:b/>
                          <w:sz w:val="24"/>
                        </w:rPr>
                        <w:t>2017 Developments Included:</w:t>
                      </w:r>
                    </w:p>
                    <w:p w:rsidR="009635AF" w:rsidRPr="00C377B4" w:rsidRDefault="009635AF">
                      <w:pPr>
                        <w:rPr>
                          <w:rFonts w:ascii="Times New Roman" w:hAnsi="Times New Roman"/>
                          <w:b/>
                          <w:sz w:val="24"/>
                        </w:rPr>
                      </w:pPr>
                    </w:p>
                    <w:p w:rsidR="009635AF" w:rsidRPr="00C377B4" w:rsidRDefault="009635AF" w:rsidP="00C377B4">
                      <w:pPr>
                        <w:pStyle w:val="ListParagraph"/>
                        <w:numPr>
                          <w:ilvl w:val="0"/>
                          <w:numId w:val="12"/>
                        </w:numPr>
                        <w:rPr>
                          <w:rFonts w:ascii="Times New Roman" w:hAnsi="Times New Roman"/>
                          <w:b/>
                          <w:sz w:val="24"/>
                        </w:rPr>
                      </w:pPr>
                      <w:r w:rsidRPr="00C377B4">
                        <w:rPr>
                          <w:rFonts w:ascii="Times New Roman" w:hAnsi="Times New Roman"/>
                          <w:b/>
                          <w:sz w:val="24"/>
                        </w:rPr>
                        <w:t>Regulation D, Rule 504 Amendments and Repeal of Rule 505</w:t>
                      </w:r>
                    </w:p>
                    <w:p w:rsidR="009635AF" w:rsidRPr="00C377B4" w:rsidRDefault="009635AF" w:rsidP="00C377B4">
                      <w:pPr>
                        <w:pStyle w:val="ListParagraph"/>
                        <w:numPr>
                          <w:ilvl w:val="0"/>
                          <w:numId w:val="12"/>
                        </w:numPr>
                        <w:rPr>
                          <w:rFonts w:ascii="Times New Roman" w:hAnsi="Times New Roman"/>
                          <w:b/>
                          <w:sz w:val="24"/>
                        </w:rPr>
                      </w:pPr>
                      <w:r w:rsidRPr="00C377B4">
                        <w:rPr>
                          <w:rFonts w:ascii="Times New Roman" w:hAnsi="Times New Roman"/>
                          <w:b/>
                          <w:sz w:val="24"/>
                        </w:rPr>
                        <w:t>Rule 147 Amendments and New Rule 147A</w:t>
                      </w:r>
                    </w:p>
                    <w:p w:rsidR="009635AF" w:rsidRPr="00C377B4" w:rsidRDefault="009635AF" w:rsidP="00C377B4">
                      <w:pPr>
                        <w:pStyle w:val="ListParagraph"/>
                        <w:numPr>
                          <w:ilvl w:val="0"/>
                          <w:numId w:val="12"/>
                        </w:numPr>
                        <w:rPr>
                          <w:rFonts w:ascii="Times New Roman" w:hAnsi="Times New Roman"/>
                          <w:b/>
                          <w:sz w:val="24"/>
                        </w:rPr>
                      </w:pPr>
                      <w:r w:rsidRPr="00C377B4">
                        <w:rPr>
                          <w:rFonts w:ascii="Times New Roman" w:hAnsi="Times New Roman"/>
                          <w:b/>
                          <w:sz w:val="24"/>
                        </w:rPr>
                        <w:t>SEC Metrics on use of Securities Act Registration Exemptions</w:t>
                      </w:r>
                    </w:p>
                  </w:txbxContent>
                </v:textbox>
              </v:shape>
            </w:pict>
          </mc:Fallback>
        </mc:AlternateContent>
      </w:r>
    </w:p>
    <w:p w:rsidR="001E72BE" w:rsidRDefault="001E72BE" w:rsidP="00096552">
      <w:pPr>
        <w:jc w:val="both"/>
        <w:rPr>
          <w:rFonts w:ascii="Times New Roman" w:hAnsi="Times New Roman"/>
          <w:sz w:val="24"/>
        </w:rPr>
      </w:pPr>
    </w:p>
    <w:p w:rsidR="001E72BE" w:rsidRDefault="001E72BE" w:rsidP="00096552">
      <w:pPr>
        <w:jc w:val="both"/>
        <w:rPr>
          <w:rFonts w:ascii="Times New Roman" w:hAnsi="Times New Roman"/>
          <w:sz w:val="24"/>
        </w:rPr>
      </w:pPr>
    </w:p>
    <w:p w:rsidR="00096552" w:rsidRDefault="00096552" w:rsidP="00096552">
      <w:pPr>
        <w:jc w:val="both"/>
        <w:rPr>
          <w:rFonts w:ascii="Times New Roman" w:hAnsi="Times New Roman"/>
          <w:sz w:val="24"/>
        </w:rPr>
      </w:pPr>
    </w:p>
    <w:p w:rsidR="001E72BE" w:rsidRDefault="001E72BE" w:rsidP="00096552">
      <w:pPr>
        <w:jc w:val="both"/>
        <w:rPr>
          <w:rFonts w:ascii="Times New Roman" w:hAnsi="Times New Roman"/>
          <w:sz w:val="24"/>
        </w:rPr>
      </w:pPr>
    </w:p>
    <w:p w:rsidR="001E72BE" w:rsidRDefault="001E72BE" w:rsidP="00096552">
      <w:pPr>
        <w:jc w:val="both"/>
        <w:rPr>
          <w:rFonts w:ascii="Times New Roman" w:hAnsi="Times New Roman"/>
          <w:sz w:val="24"/>
        </w:rPr>
      </w:pPr>
    </w:p>
    <w:p w:rsidR="001E72BE" w:rsidRDefault="001E72BE" w:rsidP="00096552">
      <w:pPr>
        <w:jc w:val="both"/>
        <w:rPr>
          <w:rFonts w:ascii="Times New Roman" w:hAnsi="Times New Roman"/>
          <w:sz w:val="24"/>
        </w:rPr>
      </w:pPr>
    </w:p>
    <w:p w:rsidR="001E72BE" w:rsidRDefault="001E72BE" w:rsidP="00096552">
      <w:pPr>
        <w:jc w:val="both"/>
        <w:rPr>
          <w:rFonts w:ascii="Times New Roman" w:hAnsi="Times New Roman"/>
          <w:sz w:val="24"/>
        </w:rPr>
      </w:pPr>
    </w:p>
    <w:p w:rsidR="005F2F2C" w:rsidRDefault="005F2F2C" w:rsidP="00096552">
      <w:pPr>
        <w:jc w:val="both"/>
        <w:rPr>
          <w:rFonts w:ascii="Times New Roman" w:hAnsi="Times New Roman"/>
          <w:sz w:val="24"/>
        </w:rPr>
      </w:pPr>
    </w:p>
    <w:p w:rsidR="00096552" w:rsidRPr="000225CC"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t>Executive Summary:  The General Framework.</w:t>
      </w:r>
    </w:p>
    <w:p w:rsidR="00096552" w:rsidRPr="000225CC"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jc w:val="both"/>
        <w:rPr>
          <w:rFonts w:ascii="Times New Roman" w:hAnsi="Times New Roman" w:cs="Times New Roman"/>
          <w:sz w:val="24"/>
          <w:szCs w:val="24"/>
        </w:rPr>
      </w:pPr>
      <w:r w:rsidRPr="000225CC">
        <w:rPr>
          <w:rFonts w:ascii="Times New Roman" w:hAnsi="Times New Roman" w:cs="Times New Roman"/>
          <w:sz w:val="24"/>
          <w:szCs w:val="24"/>
        </w:rPr>
        <w:t xml:space="preserve">Any attempt to raise investment capital by </w:t>
      </w:r>
      <w:r>
        <w:rPr>
          <w:rFonts w:ascii="Times New Roman" w:hAnsi="Times New Roman" w:cs="Times New Roman"/>
          <w:sz w:val="24"/>
          <w:szCs w:val="24"/>
        </w:rPr>
        <w:t xml:space="preserve">the offer and </w:t>
      </w:r>
      <w:r w:rsidRPr="000225CC">
        <w:rPr>
          <w:rFonts w:ascii="Times New Roman" w:hAnsi="Times New Roman" w:cs="Times New Roman"/>
          <w:sz w:val="24"/>
          <w:szCs w:val="24"/>
        </w:rPr>
        <w:t xml:space="preserve">sale of securities in the U.S. market must be made with a publicly filed </w:t>
      </w:r>
      <w:r>
        <w:rPr>
          <w:rFonts w:ascii="Times New Roman" w:hAnsi="Times New Roman" w:cs="Times New Roman"/>
          <w:sz w:val="24"/>
          <w:szCs w:val="24"/>
        </w:rPr>
        <w:t>r</w:t>
      </w:r>
      <w:r w:rsidRPr="000225CC">
        <w:rPr>
          <w:rFonts w:ascii="Times New Roman" w:hAnsi="Times New Roman" w:cs="Times New Roman"/>
          <w:sz w:val="24"/>
          <w:szCs w:val="24"/>
        </w:rPr>
        <w:t xml:space="preserve">egistration </w:t>
      </w:r>
      <w:r>
        <w:rPr>
          <w:rFonts w:ascii="Times New Roman" w:hAnsi="Times New Roman" w:cs="Times New Roman"/>
          <w:sz w:val="24"/>
          <w:szCs w:val="24"/>
        </w:rPr>
        <w:t>s</w:t>
      </w:r>
      <w:r w:rsidRPr="000225CC">
        <w:rPr>
          <w:rFonts w:ascii="Times New Roman" w:hAnsi="Times New Roman" w:cs="Times New Roman"/>
          <w:sz w:val="24"/>
          <w:szCs w:val="24"/>
        </w:rPr>
        <w:t>tatement pursuant to section 5 of the U.S. Securities Act of 1933 (the “Securities Act”), which governs the initial issuance of securities, unless an exemption from registration is available.  Exemptions from the registration requir</w:t>
      </w:r>
      <w:r>
        <w:rPr>
          <w:rFonts w:ascii="Times New Roman" w:hAnsi="Times New Roman" w:cs="Times New Roman"/>
          <w:sz w:val="24"/>
          <w:szCs w:val="24"/>
        </w:rPr>
        <w:t xml:space="preserve">ement are valued because the registration process, especially for an initial public offering, </w:t>
      </w:r>
      <w:r w:rsidRPr="000225CC">
        <w:rPr>
          <w:rFonts w:ascii="Times New Roman" w:hAnsi="Times New Roman" w:cs="Times New Roman"/>
          <w:sz w:val="24"/>
          <w:szCs w:val="24"/>
        </w:rPr>
        <w:t>is costly, rigorous, and leads to extensive ongoing compliance obligations under the Securities Exchange Act of 1934 (the “Exchange Act”),</w:t>
      </w:r>
      <w:r>
        <w:rPr>
          <w:rFonts w:ascii="Times New Roman" w:hAnsi="Times New Roman" w:cs="Times New Roman"/>
          <w:sz w:val="24"/>
          <w:szCs w:val="24"/>
        </w:rPr>
        <w:t xml:space="preserve"> which regulate</w:t>
      </w:r>
      <w:r w:rsidRPr="000225CC">
        <w:rPr>
          <w:rFonts w:ascii="Times New Roman" w:hAnsi="Times New Roman" w:cs="Times New Roman"/>
          <w:sz w:val="24"/>
          <w:szCs w:val="24"/>
        </w:rPr>
        <w:t xml:space="preserve">s </w:t>
      </w:r>
      <w:r>
        <w:rPr>
          <w:rFonts w:ascii="Times New Roman" w:hAnsi="Times New Roman" w:cs="Times New Roman"/>
          <w:sz w:val="24"/>
          <w:szCs w:val="24"/>
        </w:rPr>
        <w:t xml:space="preserve">both offers and sales of </w:t>
      </w:r>
      <w:r w:rsidRPr="000225CC">
        <w:rPr>
          <w:rFonts w:ascii="Times New Roman" w:hAnsi="Times New Roman" w:cs="Times New Roman"/>
          <w:sz w:val="24"/>
          <w:szCs w:val="24"/>
        </w:rPr>
        <w:t xml:space="preserve">securities </w:t>
      </w:r>
      <w:r>
        <w:rPr>
          <w:rFonts w:ascii="Times New Roman" w:hAnsi="Times New Roman" w:cs="Times New Roman"/>
          <w:sz w:val="24"/>
          <w:szCs w:val="24"/>
        </w:rPr>
        <w:t>post-</w:t>
      </w:r>
      <w:r w:rsidRPr="000225CC">
        <w:rPr>
          <w:rFonts w:ascii="Times New Roman" w:hAnsi="Times New Roman" w:cs="Times New Roman"/>
          <w:sz w:val="24"/>
          <w:szCs w:val="24"/>
        </w:rPr>
        <w:t>issu</w:t>
      </w:r>
      <w:r>
        <w:rPr>
          <w:rFonts w:ascii="Times New Roman" w:hAnsi="Times New Roman" w:cs="Times New Roman"/>
          <w:sz w:val="24"/>
          <w:szCs w:val="24"/>
        </w:rPr>
        <w:t>ance and public reporting companies</w:t>
      </w:r>
      <w:r w:rsidRPr="000225CC">
        <w:rPr>
          <w:rFonts w:ascii="Times New Roman" w:hAnsi="Times New Roman" w:cs="Times New Roman"/>
          <w:sz w:val="24"/>
          <w:szCs w:val="24"/>
        </w:rPr>
        <w:t xml:space="preserve">.  </w:t>
      </w:r>
    </w:p>
    <w:p w:rsidR="00096552" w:rsidRPr="000225CC" w:rsidRDefault="00096552" w:rsidP="00096552">
      <w:pPr>
        <w:pStyle w:val="ListParagraph"/>
        <w:jc w:val="both"/>
        <w:rPr>
          <w:rFonts w:ascii="Times New Roman" w:hAnsi="Times New Roman" w:cs="Times New Roman"/>
          <w:sz w:val="24"/>
          <w:szCs w:val="24"/>
        </w:rPr>
      </w:pPr>
    </w:p>
    <w:p w:rsidR="00096552" w:rsidRDefault="00096552" w:rsidP="00096552">
      <w:pPr>
        <w:pStyle w:val="ListParagraph"/>
        <w:jc w:val="both"/>
        <w:rPr>
          <w:rFonts w:ascii="Times New Roman" w:hAnsi="Times New Roman" w:cs="Times New Roman"/>
          <w:sz w:val="24"/>
          <w:szCs w:val="24"/>
        </w:rPr>
      </w:pPr>
      <w:r w:rsidRPr="000225CC">
        <w:rPr>
          <w:rFonts w:ascii="Times New Roman" w:hAnsi="Times New Roman" w:cs="Times New Roman"/>
          <w:sz w:val="24"/>
          <w:szCs w:val="24"/>
        </w:rPr>
        <w:t xml:space="preserve">Exemptions from registration fall into two categories:  </w:t>
      </w:r>
      <w:r>
        <w:rPr>
          <w:rFonts w:ascii="Times New Roman" w:hAnsi="Times New Roman" w:cs="Times New Roman"/>
          <w:sz w:val="24"/>
          <w:szCs w:val="24"/>
        </w:rPr>
        <w:t>s</w:t>
      </w:r>
      <w:r w:rsidRPr="000225CC">
        <w:rPr>
          <w:rFonts w:ascii="Times New Roman" w:hAnsi="Times New Roman" w:cs="Times New Roman"/>
          <w:sz w:val="24"/>
          <w:szCs w:val="24"/>
        </w:rPr>
        <w:t xml:space="preserve">ecurities exempt from registration pursuant to section 3 of the Securities Act (for example, government securities and short term commercial paper), and </w:t>
      </w:r>
      <w:r>
        <w:rPr>
          <w:rFonts w:ascii="Times New Roman" w:hAnsi="Times New Roman" w:cs="Times New Roman"/>
          <w:sz w:val="24"/>
          <w:szCs w:val="24"/>
        </w:rPr>
        <w:t xml:space="preserve">certain </w:t>
      </w:r>
      <w:r w:rsidRPr="000225CC">
        <w:rPr>
          <w:rFonts w:ascii="Times New Roman" w:hAnsi="Times New Roman" w:cs="Times New Roman"/>
          <w:sz w:val="24"/>
          <w:szCs w:val="24"/>
        </w:rPr>
        <w:t xml:space="preserve">transactions </w:t>
      </w:r>
      <w:r>
        <w:rPr>
          <w:rFonts w:ascii="Times New Roman" w:hAnsi="Times New Roman" w:cs="Times New Roman"/>
          <w:sz w:val="24"/>
          <w:szCs w:val="24"/>
        </w:rPr>
        <w:t xml:space="preserve">in securities, not otherwise </w:t>
      </w:r>
      <w:r w:rsidRPr="000225CC">
        <w:rPr>
          <w:rFonts w:ascii="Times New Roman" w:hAnsi="Times New Roman" w:cs="Times New Roman"/>
          <w:sz w:val="24"/>
          <w:szCs w:val="24"/>
        </w:rPr>
        <w:t xml:space="preserve">exempt from registration </w:t>
      </w:r>
      <w:r>
        <w:rPr>
          <w:rFonts w:ascii="Times New Roman" w:hAnsi="Times New Roman" w:cs="Times New Roman"/>
          <w:sz w:val="24"/>
          <w:szCs w:val="24"/>
        </w:rPr>
        <w:t xml:space="preserve">requirements, that are exempted </w:t>
      </w:r>
      <w:r w:rsidRPr="000225CC">
        <w:rPr>
          <w:rFonts w:ascii="Times New Roman" w:hAnsi="Times New Roman" w:cs="Times New Roman"/>
          <w:sz w:val="24"/>
          <w:szCs w:val="24"/>
        </w:rPr>
        <w:t>pursuant to section 4</w:t>
      </w:r>
      <w:r>
        <w:rPr>
          <w:rFonts w:ascii="Times New Roman" w:hAnsi="Times New Roman" w:cs="Times New Roman"/>
          <w:sz w:val="24"/>
          <w:szCs w:val="24"/>
        </w:rPr>
        <w:t xml:space="preserve"> of the Securities Act.  </w:t>
      </w:r>
    </w:p>
    <w:p w:rsidR="00096552"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jc w:val="both"/>
        <w:rPr>
          <w:rFonts w:ascii="Times New Roman" w:hAnsi="Times New Roman" w:cs="Times New Roman"/>
          <w:sz w:val="24"/>
          <w:szCs w:val="24"/>
        </w:rPr>
      </w:pPr>
      <w:r w:rsidRPr="000225CC">
        <w:rPr>
          <w:rFonts w:ascii="Times New Roman" w:hAnsi="Times New Roman" w:cs="Times New Roman"/>
          <w:sz w:val="24"/>
          <w:szCs w:val="24"/>
        </w:rPr>
        <w:t xml:space="preserve">For </w:t>
      </w:r>
      <w:r>
        <w:rPr>
          <w:rFonts w:ascii="Times New Roman" w:hAnsi="Times New Roman" w:cs="Times New Roman"/>
          <w:sz w:val="24"/>
          <w:szCs w:val="24"/>
        </w:rPr>
        <w:t>most</w:t>
      </w:r>
      <w:r w:rsidRPr="000225CC">
        <w:rPr>
          <w:rFonts w:ascii="Times New Roman" w:hAnsi="Times New Roman" w:cs="Times New Roman"/>
          <w:sz w:val="24"/>
          <w:szCs w:val="24"/>
        </w:rPr>
        <w:t xml:space="preserve"> companies </w:t>
      </w:r>
      <w:r>
        <w:rPr>
          <w:rFonts w:ascii="Times New Roman" w:hAnsi="Times New Roman" w:cs="Times New Roman"/>
          <w:sz w:val="24"/>
          <w:szCs w:val="24"/>
        </w:rPr>
        <w:t>attempting to raise</w:t>
      </w:r>
      <w:r w:rsidRPr="000225CC">
        <w:rPr>
          <w:rFonts w:ascii="Times New Roman" w:hAnsi="Times New Roman" w:cs="Times New Roman"/>
          <w:sz w:val="24"/>
          <w:szCs w:val="24"/>
        </w:rPr>
        <w:t xml:space="preserve"> capital</w:t>
      </w:r>
      <w:r>
        <w:rPr>
          <w:rFonts w:ascii="Times New Roman" w:hAnsi="Times New Roman" w:cs="Times New Roman"/>
          <w:sz w:val="24"/>
          <w:szCs w:val="24"/>
        </w:rPr>
        <w:t xml:space="preserve"> without public registration</w:t>
      </w:r>
      <w:r w:rsidRPr="000225CC">
        <w:rPr>
          <w:rFonts w:ascii="Times New Roman" w:hAnsi="Times New Roman" w:cs="Times New Roman"/>
          <w:sz w:val="24"/>
          <w:szCs w:val="24"/>
        </w:rPr>
        <w:t>, the most important section 4 exemption is section 4(a)(2), which exempts from the registration requirement the sale of securities</w:t>
      </w:r>
      <w:r>
        <w:rPr>
          <w:rFonts w:ascii="Times New Roman" w:hAnsi="Times New Roman" w:cs="Times New Roman"/>
          <w:sz w:val="24"/>
          <w:szCs w:val="24"/>
        </w:rPr>
        <w:t xml:space="preserve"> by an issuer</w:t>
      </w:r>
      <w:r w:rsidRPr="000225CC">
        <w:rPr>
          <w:rFonts w:ascii="Times New Roman" w:hAnsi="Times New Roman" w:cs="Times New Roman"/>
          <w:sz w:val="24"/>
          <w:szCs w:val="24"/>
        </w:rPr>
        <w:t xml:space="preserve"> </w:t>
      </w:r>
      <w:r>
        <w:rPr>
          <w:rFonts w:ascii="Times New Roman" w:hAnsi="Times New Roman" w:cs="Times New Roman"/>
          <w:sz w:val="24"/>
          <w:szCs w:val="24"/>
        </w:rPr>
        <w:t>“</w:t>
      </w:r>
      <w:r w:rsidRPr="000225CC">
        <w:rPr>
          <w:rFonts w:ascii="Times New Roman" w:hAnsi="Times New Roman" w:cs="Times New Roman"/>
          <w:sz w:val="24"/>
          <w:szCs w:val="24"/>
        </w:rPr>
        <w:t>not involving a</w:t>
      </w:r>
      <w:r>
        <w:rPr>
          <w:rFonts w:ascii="Times New Roman" w:hAnsi="Times New Roman" w:cs="Times New Roman"/>
          <w:sz w:val="24"/>
          <w:szCs w:val="24"/>
        </w:rPr>
        <w:t>ny</w:t>
      </w:r>
      <w:r w:rsidRPr="000225CC">
        <w:rPr>
          <w:rFonts w:ascii="Times New Roman" w:hAnsi="Times New Roman" w:cs="Times New Roman"/>
          <w:sz w:val="24"/>
          <w:szCs w:val="24"/>
        </w:rPr>
        <w:t xml:space="preserve"> public offering,</w:t>
      </w:r>
      <w:r>
        <w:rPr>
          <w:rFonts w:ascii="Times New Roman" w:hAnsi="Times New Roman" w:cs="Times New Roman"/>
          <w:sz w:val="24"/>
          <w:szCs w:val="24"/>
        </w:rPr>
        <w:t>”</w:t>
      </w:r>
      <w:r w:rsidRPr="000225CC">
        <w:rPr>
          <w:rFonts w:ascii="Times New Roman" w:hAnsi="Times New Roman" w:cs="Times New Roman"/>
          <w:sz w:val="24"/>
          <w:szCs w:val="24"/>
        </w:rPr>
        <w:t xml:space="preserve"> meaning a </w:t>
      </w:r>
      <w:r>
        <w:rPr>
          <w:rFonts w:ascii="Times New Roman" w:hAnsi="Times New Roman" w:cs="Times New Roman"/>
          <w:sz w:val="24"/>
          <w:szCs w:val="24"/>
        </w:rPr>
        <w:t>“</w:t>
      </w:r>
      <w:r w:rsidRPr="000225CC">
        <w:rPr>
          <w:rFonts w:ascii="Times New Roman" w:hAnsi="Times New Roman" w:cs="Times New Roman"/>
          <w:sz w:val="24"/>
          <w:szCs w:val="24"/>
        </w:rPr>
        <w:t>private placement</w:t>
      </w:r>
      <w:r>
        <w:rPr>
          <w:rFonts w:ascii="Times New Roman" w:hAnsi="Times New Roman" w:cs="Times New Roman"/>
          <w:sz w:val="24"/>
          <w:szCs w:val="24"/>
        </w:rPr>
        <w:t>”</w:t>
      </w:r>
      <w:r w:rsidRPr="000225CC">
        <w:rPr>
          <w:rFonts w:ascii="Times New Roman" w:hAnsi="Times New Roman" w:cs="Times New Roman"/>
          <w:sz w:val="24"/>
          <w:szCs w:val="24"/>
        </w:rPr>
        <w:t xml:space="preserve"> of the securities.  Section 3(b) provides another route for companies to offer exempt securities (as opposed to exempt transactions in securities) when the aggregate amount and character of the offering is limited.</w:t>
      </w:r>
    </w:p>
    <w:p w:rsidR="00096552" w:rsidRPr="000225CC"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jc w:val="both"/>
        <w:rPr>
          <w:rFonts w:ascii="Times New Roman" w:hAnsi="Times New Roman" w:cs="Times New Roman"/>
          <w:sz w:val="24"/>
          <w:szCs w:val="24"/>
        </w:rPr>
      </w:pPr>
      <w:r w:rsidRPr="000225CC">
        <w:rPr>
          <w:rFonts w:ascii="Times New Roman" w:hAnsi="Times New Roman" w:cs="Times New Roman"/>
          <w:sz w:val="24"/>
          <w:szCs w:val="24"/>
        </w:rPr>
        <w:t xml:space="preserve">Exempt securities offerings can be made pursuant to the relevant Securities Act provisions themselves, and also pursuant to rules and regulations that the U.S. securities regulatory agency, the Securities and Exchange Commission (“SEC”) has promulgated pursuant to the Securities Act.  For example, the most </w:t>
      </w:r>
      <w:r w:rsidRPr="000225CC">
        <w:rPr>
          <w:rFonts w:ascii="Times New Roman" w:hAnsi="Times New Roman" w:cs="Times New Roman"/>
          <w:sz w:val="24"/>
          <w:szCs w:val="24"/>
        </w:rPr>
        <w:lastRenderedPageBreak/>
        <w:t>well-known and most often used regulation</w:t>
      </w:r>
      <w:r>
        <w:rPr>
          <w:rFonts w:ascii="Times New Roman" w:hAnsi="Times New Roman" w:cs="Times New Roman"/>
          <w:sz w:val="24"/>
          <w:szCs w:val="24"/>
        </w:rPr>
        <w:t xml:space="preserve"> for </w:t>
      </w:r>
      <w:r w:rsidRPr="000225CC">
        <w:rPr>
          <w:rFonts w:ascii="Times New Roman" w:hAnsi="Times New Roman" w:cs="Times New Roman"/>
          <w:sz w:val="24"/>
          <w:szCs w:val="24"/>
        </w:rPr>
        <w:t xml:space="preserve">companies to issue securities exempt from registration is Regulation D, which contains </w:t>
      </w:r>
      <w:r w:rsidR="00295A97">
        <w:rPr>
          <w:rFonts w:ascii="Times New Roman" w:hAnsi="Times New Roman" w:cs="Times New Roman"/>
          <w:sz w:val="24"/>
          <w:szCs w:val="24"/>
        </w:rPr>
        <w:t>two</w:t>
      </w:r>
      <w:r w:rsidRPr="000225CC">
        <w:rPr>
          <w:rFonts w:ascii="Times New Roman" w:hAnsi="Times New Roman" w:cs="Times New Roman"/>
          <w:sz w:val="24"/>
          <w:szCs w:val="24"/>
        </w:rPr>
        <w:t xml:space="preserve"> operating rules, Rules 504 and 506</w:t>
      </w:r>
      <w:r w:rsidR="00295A97">
        <w:rPr>
          <w:rFonts w:ascii="Times New Roman" w:hAnsi="Times New Roman" w:cs="Times New Roman"/>
          <w:sz w:val="24"/>
          <w:szCs w:val="24"/>
        </w:rPr>
        <w:t xml:space="preserve"> (</w:t>
      </w:r>
      <w:r w:rsidR="008F1294">
        <w:rPr>
          <w:rFonts w:ascii="Times New Roman" w:hAnsi="Times New Roman" w:cs="Times New Roman"/>
          <w:sz w:val="24"/>
          <w:szCs w:val="24"/>
        </w:rPr>
        <w:t>following</w:t>
      </w:r>
      <w:r w:rsidR="00295A97">
        <w:rPr>
          <w:rFonts w:ascii="Times New Roman" w:hAnsi="Times New Roman" w:cs="Times New Roman"/>
          <w:sz w:val="24"/>
          <w:szCs w:val="24"/>
        </w:rPr>
        <w:t xml:space="preserve"> Rule 505’s </w:t>
      </w:r>
      <w:r w:rsidR="00576C0F">
        <w:rPr>
          <w:rFonts w:ascii="Times New Roman" w:hAnsi="Times New Roman" w:cs="Times New Roman"/>
          <w:sz w:val="24"/>
          <w:szCs w:val="24"/>
        </w:rPr>
        <w:t xml:space="preserve">2017 </w:t>
      </w:r>
      <w:r w:rsidR="00295A97">
        <w:rPr>
          <w:rFonts w:ascii="Times New Roman" w:hAnsi="Times New Roman" w:cs="Times New Roman"/>
          <w:sz w:val="24"/>
          <w:szCs w:val="24"/>
        </w:rPr>
        <w:t>repeal)</w:t>
      </w:r>
      <w:r w:rsidRPr="000225CC">
        <w:rPr>
          <w:rFonts w:ascii="Times New Roman" w:hAnsi="Times New Roman" w:cs="Times New Roman"/>
          <w:sz w:val="24"/>
          <w:szCs w:val="24"/>
        </w:rPr>
        <w:t>, the first of which offer</w:t>
      </w:r>
      <w:r w:rsidR="00295A97">
        <w:rPr>
          <w:rFonts w:ascii="Times New Roman" w:hAnsi="Times New Roman" w:cs="Times New Roman"/>
          <w:sz w:val="24"/>
          <w:szCs w:val="24"/>
        </w:rPr>
        <w:t>s</w:t>
      </w:r>
      <w:r w:rsidRPr="000225CC">
        <w:rPr>
          <w:rFonts w:ascii="Times New Roman" w:hAnsi="Times New Roman" w:cs="Times New Roman"/>
          <w:sz w:val="24"/>
          <w:szCs w:val="24"/>
        </w:rPr>
        <w:t xml:space="preserve"> </w:t>
      </w:r>
      <w:r w:rsidR="00295A97">
        <w:rPr>
          <w:rFonts w:ascii="Times New Roman" w:hAnsi="Times New Roman" w:cs="Times New Roman"/>
          <w:sz w:val="24"/>
          <w:szCs w:val="24"/>
        </w:rPr>
        <w:t xml:space="preserve">an </w:t>
      </w:r>
      <w:r w:rsidRPr="000225CC">
        <w:rPr>
          <w:rFonts w:ascii="Times New Roman" w:hAnsi="Times New Roman" w:cs="Times New Roman"/>
          <w:sz w:val="24"/>
          <w:szCs w:val="24"/>
        </w:rPr>
        <w:t xml:space="preserve">exemption under </w:t>
      </w:r>
      <w:r>
        <w:rPr>
          <w:rFonts w:ascii="Times New Roman" w:hAnsi="Times New Roman" w:cs="Times New Roman"/>
          <w:sz w:val="24"/>
          <w:szCs w:val="24"/>
        </w:rPr>
        <w:t xml:space="preserve">Securities Act </w:t>
      </w:r>
      <w:r w:rsidRPr="000225CC">
        <w:rPr>
          <w:rFonts w:ascii="Times New Roman" w:hAnsi="Times New Roman" w:cs="Times New Roman"/>
          <w:sz w:val="24"/>
          <w:szCs w:val="24"/>
        </w:rPr>
        <w:t xml:space="preserve">section 3(b), and Rule 506, which offers a </w:t>
      </w:r>
      <w:r>
        <w:rPr>
          <w:rFonts w:ascii="Times New Roman" w:hAnsi="Times New Roman" w:cs="Times New Roman"/>
          <w:sz w:val="24"/>
          <w:szCs w:val="24"/>
        </w:rPr>
        <w:t xml:space="preserve">“safe </w:t>
      </w:r>
      <w:r w:rsidRPr="000225CC">
        <w:rPr>
          <w:rFonts w:ascii="Times New Roman" w:hAnsi="Times New Roman" w:cs="Times New Roman"/>
          <w:sz w:val="24"/>
          <w:szCs w:val="24"/>
        </w:rPr>
        <w:t>harbor</w:t>
      </w:r>
      <w:r>
        <w:rPr>
          <w:rFonts w:ascii="Times New Roman" w:hAnsi="Times New Roman" w:cs="Times New Roman"/>
          <w:sz w:val="24"/>
          <w:szCs w:val="24"/>
        </w:rPr>
        <w:t>”</w:t>
      </w:r>
      <w:r w:rsidRPr="000225CC">
        <w:rPr>
          <w:rFonts w:ascii="Times New Roman" w:hAnsi="Times New Roman" w:cs="Times New Roman"/>
          <w:sz w:val="24"/>
          <w:szCs w:val="24"/>
        </w:rPr>
        <w:t xml:space="preserve"> </w:t>
      </w:r>
      <w:r>
        <w:rPr>
          <w:rFonts w:ascii="Times New Roman" w:hAnsi="Times New Roman" w:cs="Times New Roman"/>
          <w:sz w:val="24"/>
          <w:szCs w:val="24"/>
        </w:rPr>
        <w:t xml:space="preserve">exemption </w:t>
      </w:r>
      <w:r w:rsidRPr="000225CC">
        <w:rPr>
          <w:rFonts w:ascii="Times New Roman" w:hAnsi="Times New Roman" w:cs="Times New Roman"/>
          <w:sz w:val="24"/>
          <w:szCs w:val="24"/>
        </w:rPr>
        <w:t xml:space="preserve">under </w:t>
      </w:r>
      <w:r>
        <w:rPr>
          <w:rFonts w:ascii="Times New Roman" w:hAnsi="Times New Roman" w:cs="Times New Roman"/>
          <w:sz w:val="24"/>
          <w:szCs w:val="24"/>
        </w:rPr>
        <w:t xml:space="preserve">Securities Act </w:t>
      </w:r>
      <w:r w:rsidRPr="000225CC">
        <w:rPr>
          <w:rFonts w:ascii="Times New Roman" w:hAnsi="Times New Roman" w:cs="Times New Roman"/>
          <w:sz w:val="24"/>
          <w:szCs w:val="24"/>
        </w:rPr>
        <w:t>section 4(a)(2).</w:t>
      </w:r>
    </w:p>
    <w:p w:rsidR="00096552" w:rsidRPr="000225CC" w:rsidRDefault="00096552" w:rsidP="00096552">
      <w:pPr>
        <w:pStyle w:val="ListParagraph"/>
        <w:jc w:val="both"/>
        <w:rPr>
          <w:rFonts w:ascii="Times New Roman" w:hAnsi="Times New Roman" w:cs="Times New Roman"/>
          <w:sz w:val="24"/>
          <w:szCs w:val="24"/>
        </w:rPr>
      </w:pPr>
    </w:p>
    <w:p w:rsidR="00096552" w:rsidRDefault="00096552" w:rsidP="00096552">
      <w:pPr>
        <w:pStyle w:val="ListParagraph"/>
        <w:jc w:val="both"/>
        <w:rPr>
          <w:rFonts w:ascii="Times New Roman" w:hAnsi="Times New Roman" w:cs="Times New Roman"/>
          <w:i/>
          <w:sz w:val="24"/>
          <w:szCs w:val="24"/>
        </w:rPr>
      </w:pPr>
      <w:r w:rsidRPr="000225CC">
        <w:rPr>
          <w:rFonts w:ascii="Times New Roman" w:hAnsi="Times New Roman" w:cs="Times New Roman"/>
          <w:sz w:val="24"/>
          <w:szCs w:val="24"/>
        </w:rPr>
        <w:t>F</w:t>
      </w:r>
      <w:r>
        <w:rPr>
          <w:rFonts w:ascii="Times New Roman" w:hAnsi="Times New Roman" w:cs="Times New Roman"/>
          <w:sz w:val="24"/>
          <w:szCs w:val="24"/>
        </w:rPr>
        <w:t xml:space="preserve">ollowing is a discussion of the principal </w:t>
      </w:r>
      <w:r w:rsidRPr="000225CC">
        <w:rPr>
          <w:rFonts w:ascii="Times New Roman" w:hAnsi="Times New Roman" w:cs="Times New Roman"/>
          <w:sz w:val="24"/>
          <w:szCs w:val="24"/>
        </w:rPr>
        <w:t xml:space="preserve">Securities Act sections, regulations and rules that may be used for </w:t>
      </w:r>
      <w:r>
        <w:rPr>
          <w:rFonts w:ascii="Times New Roman" w:hAnsi="Times New Roman" w:cs="Times New Roman"/>
          <w:sz w:val="24"/>
          <w:szCs w:val="24"/>
        </w:rPr>
        <w:t>registration-exempt</w:t>
      </w:r>
      <w:r w:rsidRPr="000225CC">
        <w:rPr>
          <w:rFonts w:ascii="Times New Roman" w:hAnsi="Times New Roman" w:cs="Times New Roman"/>
          <w:sz w:val="24"/>
          <w:szCs w:val="24"/>
        </w:rPr>
        <w:t xml:space="preserve"> </w:t>
      </w:r>
      <w:r>
        <w:rPr>
          <w:rFonts w:ascii="Times New Roman" w:hAnsi="Times New Roman" w:cs="Times New Roman"/>
          <w:sz w:val="24"/>
          <w:szCs w:val="24"/>
        </w:rPr>
        <w:t xml:space="preserve">offers and </w:t>
      </w:r>
      <w:r w:rsidRPr="000225CC">
        <w:rPr>
          <w:rFonts w:ascii="Times New Roman" w:hAnsi="Times New Roman" w:cs="Times New Roman"/>
          <w:sz w:val="24"/>
          <w:szCs w:val="24"/>
        </w:rPr>
        <w:t>sales of securities</w:t>
      </w:r>
      <w:r>
        <w:rPr>
          <w:rFonts w:ascii="Times New Roman" w:hAnsi="Times New Roman" w:cs="Times New Roman"/>
          <w:sz w:val="24"/>
          <w:szCs w:val="24"/>
        </w:rPr>
        <w:t xml:space="preserve"> for the purpose of raising capital and </w:t>
      </w:r>
      <w:r w:rsidRPr="000225CC">
        <w:rPr>
          <w:rFonts w:ascii="Times New Roman" w:hAnsi="Times New Roman" w:cs="Times New Roman"/>
          <w:sz w:val="24"/>
          <w:szCs w:val="24"/>
        </w:rPr>
        <w:t>their respective req</w:t>
      </w:r>
      <w:r>
        <w:rPr>
          <w:rFonts w:ascii="Times New Roman" w:hAnsi="Times New Roman" w:cs="Times New Roman"/>
          <w:sz w:val="24"/>
          <w:szCs w:val="24"/>
        </w:rPr>
        <w:t xml:space="preserve">uirements, </w:t>
      </w:r>
      <w:r w:rsidRPr="000225CC">
        <w:rPr>
          <w:rFonts w:ascii="Times New Roman" w:hAnsi="Times New Roman" w:cs="Times New Roman"/>
          <w:sz w:val="24"/>
          <w:szCs w:val="24"/>
        </w:rPr>
        <w:t>advantages and d</w:t>
      </w:r>
      <w:r>
        <w:rPr>
          <w:rFonts w:ascii="Times New Roman" w:hAnsi="Times New Roman" w:cs="Times New Roman"/>
          <w:sz w:val="24"/>
          <w:szCs w:val="24"/>
        </w:rPr>
        <w:t xml:space="preserve">isadvantages.  </w:t>
      </w:r>
      <w:r w:rsidRPr="000225CC">
        <w:rPr>
          <w:rFonts w:ascii="Times New Roman" w:hAnsi="Times New Roman" w:cs="Times New Roman"/>
          <w:sz w:val="24"/>
          <w:szCs w:val="24"/>
        </w:rPr>
        <w:t xml:space="preserve">Appendix 1 at the end of this advisory presents a condensed version of the same information in chart form.  Following the discussion, there are “Deal Points” for </w:t>
      </w:r>
      <w:r>
        <w:rPr>
          <w:rFonts w:ascii="Times New Roman" w:hAnsi="Times New Roman" w:cs="Times New Roman"/>
          <w:sz w:val="24"/>
          <w:szCs w:val="24"/>
        </w:rPr>
        <w:t>how</w:t>
      </w:r>
      <w:r w:rsidRPr="000225CC">
        <w:rPr>
          <w:rFonts w:ascii="Times New Roman" w:hAnsi="Times New Roman" w:cs="Times New Roman"/>
          <w:sz w:val="24"/>
          <w:szCs w:val="24"/>
        </w:rPr>
        <w:t xml:space="preserve"> to facilitate the </w:t>
      </w:r>
      <w:r>
        <w:rPr>
          <w:rFonts w:ascii="Times New Roman" w:hAnsi="Times New Roman" w:cs="Times New Roman"/>
          <w:sz w:val="24"/>
          <w:szCs w:val="24"/>
        </w:rPr>
        <w:t>unregistered offering</w:t>
      </w:r>
      <w:r w:rsidRPr="000225CC">
        <w:rPr>
          <w:rFonts w:ascii="Times New Roman" w:hAnsi="Times New Roman" w:cs="Times New Roman"/>
          <w:sz w:val="24"/>
          <w:szCs w:val="24"/>
        </w:rPr>
        <w:t xml:space="preserve"> process and </w:t>
      </w:r>
      <w:r w:rsidRPr="000225CC">
        <w:rPr>
          <w:rFonts w:ascii="Times New Roman" w:hAnsi="Times New Roman" w:cs="Times New Roman"/>
          <w:i/>
          <w:sz w:val="24"/>
          <w:szCs w:val="24"/>
        </w:rPr>
        <w:t>what at all costs not to do</w:t>
      </w:r>
      <w:r w:rsidRPr="00AA73D3">
        <w:rPr>
          <w:rFonts w:ascii="Times New Roman" w:hAnsi="Times New Roman" w:cs="Times New Roman"/>
          <w:i/>
          <w:sz w:val="24"/>
          <w:szCs w:val="24"/>
        </w:rPr>
        <w:t>.</w:t>
      </w:r>
    </w:p>
    <w:p w:rsidR="00096552" w:rsidRPr="00D45781"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Regulation D Rule 506:  the Section 4(a)(2) </w:t>
      </w:r>
      <w:r>
        <w:rPr>
          <w:rFonts w:ascii="Times New Roman" w:hAnsi="Times New Roman" w:cs="Times New Roman"/>
          <w:sz w:val="24"/>
          <w:szCs w:val="24"/>
        </w:rPr>
        <w:t xml:space="preserve">Safe </w:t>
      </w:r>
      <w:r w:rsidRPr="000225CC">
        <w:rPr>
          <w:rFonts w:ascii="Times New Roman" w:hAnsi="Times New Roman" w:cs="Times New Roman"/>
          <w:sz w:val="24"/>
          <w:szCs w:val="24"/>
        </w:rPr>
        <w:t>Harbor</w:t>
      </w:r>
      <w:r>
        <w:rPr>
          <w:rFonts w:ascii="Times New Roman" w:hAnsi="Times New Roman" w:cs="Times New Roman"/>
          <w:sz w:val="24"/>
          <w:szCs w:val="24"/>
        </w:rPr>
        <w:t xml:space="preserve"> for Private Placements</w:t>
      </w:r>
      <w:r w:rsidRPr="000225CC">
        <w:rPr>
          <w:rFonts w:ascii="Times New Roman" w:hAnsi="Times New Roman" w:cs="Times New Roman"/>
          <w:sz w:val="24"/>
          <w:szCs w:val="24"/>
        </w:rPr>
        <w:t>.</w:t>
      </w:r>
    </w:p>
    <w:p w:rsidR="00096552" w:rsidRPr="000225CC"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Aggregate Offering Price Limitation:  Rule 506 has no </w:t>
      </w:r>
      <w:r>
        <w:rPr>
          <w:rFonts w:ascii="Times New Roman" w:hAnsi="Times New Roman" w:cs="Times New Roman"/>
          <w:sz w:val="24"/>
          <w:szCs w:val="24"/>
        </w:rPr>
        <w:t xml:space="preserve">aggregate </w:t>
      </w:r>
      <w:r w:rsidRPr="000225CC">
        <w:rPr>
          <w:rFonts w:ascii="Times New Roman" w:hAnsi="Times New Roman" w:cs="Times New Roman"/>
          <w:sz w:val="24"/>
          <w:szCs w:val="24"/>
        </w:rPr>
        <w:t>offering price limitation.</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Issuer and Investor Requirements:  </w:t>
      </w:r>
      <w:r>
        <w:rPr>
          <w:rFonts w:ascii="Times New Roman" w:hAnsi="Times New Roman" w:cs="Times New Roman"/>
          <w:sz w:val="24"/>
          <w:szCs w:val="24"/>
        </w:rPr>
        <w:t>No issuer qualifications</w:t>
      </w:r>
      <w:r w:rsidR="00B269E5">
        <w:rPr>
          <w:rFonts w:ascii="Times New Roman" w:hAnsi="Times New Roman" w:cs="Times New Roman"/>
          <w:sz w:val="24"/>
          <w:szCs w:val="24"/>
        </w:rPr>
        <w:t>, although Issuer may be disqualified under Rule 506(d) “bad actor” provisions</w:t>
      </w:r>
      <w:r>
        <w:rPr>
          <w:rFonts w:ascii="Times New Roman" w:hAnsi="Times New Roman" w:cs="Times New Roman"/>
          <w:sz w:val="24"/>
          <w:szCs w:val="24"/>
        </w:rPr>
        <w:t xml:space="preserve">.  </w:t>
      </w:r>
      <w:r w:rsidRPr="000225CC">
        <w:rPr>
          <w:rFonts w:ascii="Times New Roman" w:hAnsi="Times New Roman" w:cs="Times New Roman"/>
          <w:sz w:val="24"/>
          <w:szCs w:val="24"/>
        </w:rPr>
        <w:t xml:space="preserve">Under Rule 506(b), </w:t>
      </w:r>
      <w:r>
        <w:rPr>
          <w:rFonts w:ascii="Times New Roman" w:hAnsi="Times New Roman" w:cs="Times New Roman"/>
          <w:sz w:val="24"/>
          <w:szCs w:val="24"/>
        </w:rPr>
        <w:t xml:space="preserve">there may be </w:t>
      </w:r>
      <w:r w:rsidRPr="000225CC">
        <w:rPr>
          <w:rFonts w:ascii="Times New Roman" w:hAnsi="Times New Roman" w:cs="Times New Roman"/>
          <w:sz w:val="24"/>
          <w:szCs w:val="24"/>
        </w:rPr>
        <w:t xml:space="preserve">unlimited </w:t>
      </w:r>
      <w:r>
        <w:rPr>
          <w:rFonts w:ascii="Times New Roman" w:hAnsi="Times New Roman" w:cs="Times New Roman"/>
          <w:sz w:val="24"/>
          <w:szCs w:val="24"/>
        </w:rPr>
        <w:t>“A</w:t>
      </w:r>
      <w:r w:rsidRPr="000225CC">
        <w:rPr>
          <w:rFonts w:ascii="Times New Roman" w:hAnsi="Times New Roman" w:cs="Times New Roman"/>
          <w:sz w:val="24"/>
          <w:szCs w:val="24"/>
        </w:rPr>
        <w:t xml:space="preserve">ccredited </w:t>
      </w:r>
      <w:r>
        <w:rPr>
          <w:rFonts w:ascii="Times New Roman" w:hAnsi="Times New Roman" w:cs="Times New Roman"/>
          <w:sz w:val="24"/>
          <w:szCs w:val="24"/>
        </w:rPr>
        <w:t>I</w:t>
      </w:r>
      <w:r w:rsidRPr="000225CC">
        <w:rPr>
          <w:rFonts w:ascii="Times New Roman" w:hAnsi="Times New Roman" w:cs="Times New Roman"/>
          <w:sz w:val="24"/>
          <w:szCs w:val="24"/>
        </w:rPr>
        <w:t>nvestors</w:t>
      </w:r>
      <w:r>
        <w:rPr>
          <w:rFonts w:ascii="Times New Roman" w:hAnsi="Times New Roman" w:cs="Times New Roman"/>
          <w:sz w:val="24"/>
          <w:szCs w:val="24"/>
        </w:rPr>
        <w:t>”</w:t>
      </w:r>
      <w:r w:rsidRPr="000225CC">
        <w:rPr>
          <w:rFonts w:ascii="Times New Roman" w:hAnsi="Times New Roman" w:cs="Times New Roman"/>
          <w:sz w:val="24"/>
          <w:szCs w:val="24"/>
        </w:rPr>
        <w:t xml:space="preserve"> </w:t>
      </w:r>
      <w:r>
        <w:rPr>
          <w:rFonts w:ascii="Times New Roman" w:hAnsi="Times New Roman" w:cs="Times New Roman"/>
          <w:sz w:val="24"/>
          <w:szCs w:val="24"/>
        </w:rPr>
        <w:t xml:space="preserve">(see below) </w:t>
      </w:r>
      <w:r w:rsidRPr="000225CC">
        <w:rPr>
          <w:rFonts w:ascii="Times New Roman" w:hAnsi="Times New Roman" w:cs="Times New Roman"/>
          <w:sz w:val="24"/>
          <w:szCs w:val="24"/>
        </w:rPr>
        <w:t xml:space="preserve">and up to 35 </w:t>
      </w:r>
      <w:r>
        <w:rPr>
          <w:rFonts w:ascii="Times New Roman" w:hAnsi="Times New Roman" w:cs="Times New Roman"/>
          <w:sz w:val="24"/>
          <w:szCs w:val="24"/>
        </w:rPr>
        <w:t xml:space="preserve">“sophisticated” </w:t>
      </w:r>
      <w:r w:rsidRPr="000225CC">
        <w:rPr>
          <w:rFonts w:ascii="Times New Roman" w:hAnsi="Times New Roman" w:cs="Times New Roman"/>
          <w:sz w:val="24"/>
          <w:szCs w:val="24"/>
        </w:rPr>
        <w:t>non-</w:t>
      </w:r>
      <w:r>
        <w:rPr>
          <w:rFonts w:ascii="Times New Roman" w:hAnsi="Times New Roman" w:cs="Times New Roman"/>
          <w:sz w:val="24"/>
          <w:szCs w:val="24"/>
        </w:rPr>
        <w:t>accredited investor</w:t>
      </w:r>
      <w:r w:rsidRPr="000225CC">
        <w:rPr>
          <w:rFonts w:ascii="Times New Roman" w:hAnsi="Times New Roman" w:cs="Times New Roman"/>
          <w:sz w:val="24"/>
          <w:szCs w:val="24"/>
        </w:rPr>
        <w:t xml:space="preserve">s. </w:t>
      </w:r>
      <w:r>
        <w:rPr>
          <w:rFonts w:ascii="Times New Roman" w:hAnsi="Times New Roman" w:cs="Times New Roman"/>
          <w:sz w:val="24"/>
          <w:szCs w:val="24"/>
        </w:rPr>
        <w:t xml:space="preserve">Investors may “self-certify” Accredited Investor status </w:t>
      </w:r>
      <w:r w:rsidR="00D9673F">
        <w:rPr>
          <w:rFonts w:ascii="Times New Roman" w:hAnsi="Times New Roman" w:cs="Times New Roman"/>
          <w:sz w:val="24"/>
          <w:szCs w:val="24"/>
        </w:rPr>
        <w:t xml:space="preserve">with </w:t>
      </w:r>
      <w:r>
        <w:rPr>
          <w:rFonts w:ascii="Times New Roman" w:hAnsi="Times New Roman" w:cs="Times New Roman"/>
          <w:sz w:val="24"/>
          <w:szCs w:val="24"/>
        </w:rPr>
        <w:t xml:space="preserve">subscription documents, questionnaires, etc.  </w:t>
      </w:r>
      <w:r w:rsidRPr="000225CC">
        <w:rPr>
          <w:rFonts w:ascii="Times New Roman" w:hAnsi="Times New Roman" w:cs="Times New Roman"/>
          <w:sz w:val="24"/>
          <w:szCs w:val="24"/>
        </w:rPr>
        <w:t xml:space="preserve">Under Rule 506(c), all purchasers must be </w:t>
      </w:r>
      <w:r>
        <w:rPr>
          <w:rFonts w:ascii="Times New Roman" w:hAnsi="Times New Roman" w:cs="Times New Roman"/>
          <w:sz w:val="24"/>
          <w:szCs w:val="24"/>
        </w:rPr>
        <w:t>Accredited Investor</w:t>
      </w:r>
      <w:r w:rsidRPr="000225CC">
        <w:rPr>
          <w:rFonts w:ascii="Times New Roman" w:hAnsi="Times New Roman" w:cs="Times New Roman"/>
          <w:sz w:val="24"/>
          <w:szCs w:val="24"/>
        </w:rPr>
        <w:t>s</w:t>
      </w:r>
      <w:r>
        <w:rPr>
          <w:rFonts w:ascii="Times New Roman" w:hAnsi="Times New Roman" w:cs="Times New Roman"/>
          <w:sz w:val="24"/>
          <w:szCs w:val="24"/>
        </w:rPr>
        <w:t>, and issuer also must take “reasonable steps” to confirm their Accredited Investor status, which is not required under Rule 506(b)</w:t>
      </w:r>
      <w:r w:rsidRPr="000225CC">
        <w:rPr>
          <w:rFonts w:ascii="Times New Roman" w:hAnsi="Times New Roman" w:cs="Times New Roman"/>
          <w:sz w:val="24"/>
          <w:szCs w:val="24"/>
        </w:rPr>
        <w:t>.</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ind w:left="1440"/>
        <w:jc w:val="both"/>
        <w:rPr>
          <w:rFonts w:ascii="Times New Roman" w:hAnsi="Times New Roman" w:cs="Times New Roman"/>
          <w:sz w:val="24"/>
          <w:szCs w:val="24"/>
        </w:rPr>
      </w:pPr>
      <w:r w:rsidRPr="000225CC">
        <w:rPr>
          <w:rFonts w:ascii="Times New Roman" w:hAnsi="Times New Roman" w:cs="Times New Roman"/>
          <w:sz w:val="24"/>
          <w:szCs w:val="24"/>
        </w:rPr>
        <w:t>Central to the Regulation D exemption</w:t>
      </w:r>
      <w:r>
        <w:rPr>
          <w:rFonts w:ascii="Times New Roman" w:hAnsi="Times New Roman" w:cs="Times New Roman"/>
          <w:sz w:val="24"/>
          <w:szCs w:val="24"/>
        </w:rPr>
        <w:t>s</w:t>
      </w:r>
      <w:r w:rsidRPr="000225CC">
        <w:rPr>
          <w:rFonts w:ascii="Times New Roman" w:hAnsi="Times New Roman" w:cs="Times New Roman"/>
          <w:sz w:val="24"/>
          <w:szCs w:val="24"/>
        </w:rPr>
        <w:t xml:space="preserve"> from Securities Act registration is the distinction between potential purchasers of securities who are “</w:t>
      </w:r>
      <w:r>
        <w:rPr>
          <w:rFonts w:ascii="Times New Roman" w:hAnsi="Times New Roman" w:cs="Times New Roman"/>
          <w:sz w:val="24"/>
          <w:szCs w:val="24"/>
        </w:rPr>
        <w:t>Accredited Investor</w:t>
      </w:r>
      <w:r w:rsidRPr="000225CC">
        <w:rPr>
          <w:rFonts w:ascii="Times New Roman" w:hAnsi="Times New Roman" w:cs="Times New Roman"/>
          <w:sz w:val="24"/>
          <w:szCs w:val="24"/>
        </w:rPr>
        <w:t xml:space="preserve">s” and those </w:t>
      </w:r>
      <w:r>
        <w:rPr>
          <w:rFonts w:ascii="Times New Roman" w:hAnsi="Times New Roman" w:cs="Times New Roman"/>
          <w:sz w:val="24"/>
          <w:szCs w:val="24"/>
        </w:rPr>
        <w:t>who are not.  The focus</w:t>
      </w:r>
      <w:r w:rsidRPr="000225CC">
        <w:rPr>
          <w:rFonts w:ascii="Times New Roman" w:hAnsi="Times New Roman" w:cs="Times New Roman"/>
          <w:sz w:val="24"/>
          <w:szCs w:val="24"/>
        </w:rPr>
        <w:t xml:space="preserve"> of the securities laws is to ensure adequate disclosure by the issuer of the offered securities to prospective purchasers to allow them to make an informed decision about whether to purchase.  For Securities Act section 5 </w:t>
      </w:r>
      <w:r>
        <w:rPr>
          <w:rFonts w:ascii="Times New Roman" w:hAnsi="Times New Roman" w:cs="Times New Roman"/>
          <w:sz w:val="24"/>
          <w:szCs w:val="24"/>
        </w:rPr>
        <w:t>r</w:t>
      </w:r>
      <w:r w:rsidRPr="000225CC">
        <w:rPr>
          <w:rFonts w:ascii="Times New Roman" w:hAnsi="Times New Roman" w:cs="Times New Roman"/>
          <w:sz w:val="24"/>
          <w:szCs w:val="24"/>
        </w:rPr>
        <w:t xml:space="preserve">egistration </w:t>
      </w:r>
      <w:r>
        <w:rPr>
          <w:rFonts w:ascii="Times New Roman" w:hAnsi="Times New Roman" w:cs="Times New Roman"/>
          <w:sz w:val="24"/>
          <w:szCs w:val="24"/>
        </w:rPr>
        <w:t>s</w:t>
      </w:r>
      <w:r w:rsidRPr="000225CC">
        <w:rPr>
          <w:rFonts w:ascii="Times New Roman" w:hAnsi="Times New Roman" w:cs="Times New Roman"/>
          <w:sz w:val="24"/>
          <w:szCs w:val="24"/>
        </w:rPr>
        <w:t>tatements, the disclosure requirements, both of financial and accounting information and of qualitative, or unquantifiable matters, are extensive.  However, “</w:t>
      </w:r>
      <w:r>
        <w:rPr>
          <w:rFonts w:ascii="Times New Roman" w:hAnsi="Times New Roman" w:cs="Times New Roman"/>
          <w:sz w:val="24"/>
          <w:szCs w:val="24"/>
        </w:rPr>
        <w:t>Accredited Investor</w:t>
      </w:r>
      <w:r w:rsidRPr="000225CC">
        <w:rPr>
          <w:rFonts w:ascii="Times New Roman" w:hAnsi="Times New Roman" w:cs="Times New Roman"/>
          <w:sz w:val="24"/>
          <w:szCs w:val="24"/>
        </w:rPr>
        <w:t xml:space="preserve">s,” defined in Securities Act section 2(a)(15) and Regulation D Rule 501 to include institutions such as banks and insurance companies, large companies and persons who, by reason of their net worth, financial sophistication, or status </w:t>
      </w:r>
      <w:r>
        <w:rPr>
          <w:rFonts w:ascii="Times New Roman" w:hAnsi="Times New Roman" w:cs="Times New Roman"/>
          <w:sz w:val="24"/>
          <w:szCs w:val="24"/>
        </w:rPr>
        <w:t xml:space="preserve">such </w:t>
      </w:r>
      <w:r w:rsidRPr="000225CC">
        <w:rPr>
          <w:rFonts w:ascii="Times New Roman" w:hAnsi="Times New Roman" w:cs="Times New Roman"/>
          <w:sz w:val="24"/>
          <w:szCs w:val="24"/>
        </w:rPr>
        <w:t xml:space="preserve">as director or officer of the issuer company, are deemed not to need the benefit of the Securities Act’s full disclosure scheme.  The net worth and net income requirements are relatively modest for anyone who is likely to be a potential private placement investor:  $1 million in net worth (excluding primary residence) or net income of more than $200,000 in each of the two most </w:t>
      </w:r>
      <w:r w:rsidRPr="000225CC">
        <w:rPr>
          <w:rFonts w:ascii="Times New Roman" w:hAnsi="Times New Roman" w:cs="Times New Roman"/>
          <w:sz w:val="24"/>
          <w:szCs w:val="24"/>
        </w:rPr>
        <w:lastRenderedPageBreak/>
        <w:t>recent years ($300,000 including spousal income).  Rule 502 of Regulation D contains rules against general solicitation of prospective purchasers of securities in most private placements, financial and non-financial information required to be of</w:t>
      </w:r>
      <w:r>
        <w:rPr>
          <w:rFonts w:ascii="Times New Roman" w:hAnsi="Times New Roman" w:cs="Times New Roman"/>
          <w:sz w:val="24"/>
          <w:szCs w:val="24"/>
        </w:rPr>
        <w:t>fered to prospective purchasers</w:t>
      </w:r>
      <w:r w:rsidRPr="000225CC">
        <w:rPr>
          <w:rFonts w:ascii="Times New Roman" w:hAnsi="Times New Roman" w:cs="Times New Roman"/>
          <w:sz w:val="24"/>
          <w:szCs w:val="24"/>
        </w:rPr>
        <w:t xml:space="preserve"> and restrictions on resale of exempted securities</w:t>
      </w:r>
      <w:r>
        <w:rPr>
          <w:rFonts w:ascii="Times New Roman" w:hAnsi="Times New Roman" w:cs="Times New Roman"/>
          <w:sz w:val="24"/>
          <w:szCs w:val="24"/>
        </w:rPr>
        <w:t xml:space="preserve"> sold under Regulation D</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No general solicitation or advertising </w:t>
      </w:r>
      <w:r>
        <w:rPr>
          <w:rFonts w:ascii="Times New Roman" w:hAnsi="Times New Roman" w:cs="Times New Roman"/>
          <w:sz w:val="24"/>
          <w:szCs w:val="24"/>
        </w:rPr>
        <w:t xml:space="preserve">is permitted </w:t>
      </w:r>
      <w:r w:rsidRPr="000225CC">
        <w:rPr>
          <w:rFonts w:ascii="Times New Roman" w:hAnsi="Times New Roman" w:cs="Times New Roman"/>
          <w:sz w:val="24"/>
          <w:szCs w:val="24"/>
        </w:rPr>
        <w:t>under Rule 506(b).  G</w:t>
      </w:r>
      <w:r>
        <w:rPr>
          <w:rFonts w:ascii="Times New Roman" w:hAnsi="Times New Roman" w:cs="Times New Roman"/>
          <w:sz w:val="24"/>
          <w:szCs w:val="24"/>
        </w:rPr>
        <w:t xml:space="preserve">eneral solicitation and </w:t>
      </w:r>
      <w:r w:rsidRPr="000225CC">
        <w:rPr>
          <w:rFonts w:ascii="Times New Roman" w:hAnsi="Times New Roman" w:cs="Times New Roman"/>
          <w:sz w:val="24"/>
          <w:szCs w:val="24"/>
        </w:rPr>
        <w:t xml:space="preserve">advertising under Rule 506(c) is permitted if all purchasers are </w:t>
      </w:r>
      <w:r>
        <w:rPr>
          <w:rFonts w:ascii="Times New Roman" w:hAnsi="Times New Roman" w:cs="Times New Roman"/>
          <w:sz w:val="24"/>
          <w:szCs w:val="24"/>
        </w:rPr>
        <w:t>Accredited Investor</w:t>
      </w:r>
      <w:r w:rsidRPr="000225CC">
        <w:rPr>
          <w:rFonts w:ascii="Times New Roman" w:hAnsi="Times New Roman" w:cs="Times New Roman"/>
          <w:sz w:val="24"/>
          <w:szCs w:val="24"/>
        </w:rPr>
        <w:t>s.</w:t>
      </w:r>
      <w:r>
        <w:rPr>
          <w:rFonts w:ascii="Times New Roman" w:hAnsi="Times New Roman" w:cs="Times New Roman"/>
          <w:sz w:val="24"/>
          <w:szCs w:val="24"/>
        </w:rPr>
        <w:t xml:space="preserve">  In practice, under Rule 506(b), a pre-existing relationship with the investors is required, and no general media outreach is permitted.  Under Rule 506(c), no pre-existing relationship with the investors is needed, and general media outreach is permitted.</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SEC a</w:t>
      </w:r>
      <w:r>
        <w:rPr>
          <w:rFonts w:ascii="Times New Roman" w:hAnsi="Times New Roman" w:cs="Times New Roman"/>
          <w:sz w:val="24"/>
          <w:szCs w:val="24"/>
        </w:rPr>
        <w:t>nd State Filing Requirements:  SEC:  Issuer m</w:t>
      </w:r>
      <w:r w:rsidRPr="000225CC">
        <w:rPr>
          <w:rFonts w:ascii="Times New Roman" w:hAnsi="Times New Roman" w:cs="Times New Roman"/>
          <w:sz w:val="24"/>
          <w:szCs w:val="24"/>
        </w:rPr>
        <w:t>ust file SEC Form D within 15 days of first sale</w:t>
      </w:r>
      <w:r>
        <w:rPr>
          <w:rFonts w:ascii="Times New Roman" w:hAnsi="Times New Roman" w:cs="Times New Roman"/>
          <w:sz w:val="24"/>
          <w:szCs w:val="24"/>
        </w:rPr>
        <w:t xml:space="preserve"> pursuant to Regulation D Rule 503</w:t>
      </w:r>
      <w:r w:rsidRPr="000225CC">
        <w:rPr>
          <w:rFonts w:ascii="Times New Roman" w:hAnsi="Times New Roman" w:cs="Times New Roman"/>
          <w:sz w:val="24"/>
          <w:szCs w:val="24"/>
        </w:rPr>
        <w:t>.  Filing is not a conditi</w:t>
      </w:r>
      <w:r>
        <w:rPr>
          <w:rFonts w:ascii="Times New Roman" w:hAnsi="Times New Roman" w:cs="Times New Roman"/>
          <w:sz w:val="24"/>
          <w:szCs w:val="24"/>
        </w:rPr>
        <w:t>on of exemption.  There is n</w:t>
      </w:r>
      <w:r w:rsidRPr="000225CC">
        <w:rPr>
          <w:rFonts w:ascii="Times New Roman" w:hAnsi="Times New Roman" w:cs="Times New Roman"/>
          <w:sz w:val="24"/>
          <w:szCs w:val="24"/>
        </w:rPr>
        <w:t xml:space="preserve">o ongoing reporting.  </w:t>
      </w:r>
      <w:r>
        <w:rPr>
          <w:rFonts w:ascii="Times New Roman" w:hAnsi="Times New Roman" w:cs="Times New Roman"/>
          <w:sz w:val="24"/>
          <w:szCs w:val="24"/>
        </w:rPr>
        <w:t>State:  Rule 506 securities are e</w:t>
      </w:r>
      <w:r w:rsidRPr="000225CC">
        <w:rPr>
          <w:rFonts w:ascii="Times New Roman" w:hAnsi="Times New Roman" w:cs="Times New Roman"/>
          <w:sz w:val="24"/>
          <w:szCs w:val="24"/>
        </w:rPr>
        <w:t>xempt from state filing as “</w:t>
      </w:r>
      <w:r>
        <w:rPr>
          <w:rFonts w:ascii="Times New Roman" w:hAnsi="Times New Roman" w:cs="Times New Roman"/>
          <w:sz w:val="24"/>
          <w:szCs w:val="24"/>
        </w:rPr>
        <w:t>C</w:t>
      </w:r>
      <w:r w:rsidRPr="000225CC">
        <w:rPr>
          <w:rFonts w:ascii="Times New Roman" w:hAnsi="Times New Roman" w:cs="Times New Roman"/>
          <w:sz w:val="24"/>
          <w:szCs w:val="24"/>
        </w:rPr>
        <w:t xml:space="preserve">overed </w:t>
      </w:r>
      <w:r>
        <w:rPr>
          <w:rFonts w:ascii="Times New Roman" w:hAnsi="Times New Roman" w:cs="Times New Roman"/>
          <w:sz w:val="24"/>
          <w:szCs w:val="24"/>
        </w:rPr>
        <w:t>S</w:t>
      </w:r>
      <w:r w:rsidRPr="000225CC">
        <w:rPr>
          <w:rFonts w:ascii="Times New Roman" w:hAnsi="Times New Roman" w:cs="Times New Roman"/>
          <w:sz w:val="24"/>
          <w:szCs w:val="24"/>
        </w:rPr>
        <w:t>ecurities” under Securities Act section 18.</w:t>
      </w:r>
      <w:r>
        <w:rPr>
          <w:rFonts w:ascii="Times New Roman" w:hAnsi="Times New Roman" w:cs="Times New Roman"/>
          <w:sz w:val="24"/>
          <w:szCs w:val="24"/>
        </w:rPr>
        <w:t xml:space="preserve"> (Note:  Broker-Dealers and others who aid in placing the securities may also have Financial Industry Regulatory Authority (“FINRA”) filing obligations</w:t>
      </w:r>
    </w:p>
    <w:p w:rsidR="00096552" w:rsidRPr="000225CC"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Resales:  </w:t>
      </w:r>
      <w:r>
        <w:rPr>
          <w:rFonts w:ascii="Times New Roman" w:hAnsi="Times New Roman" w:cs="Times New Roman"/>
          <w:sz w:val="24"/>
          <w:szCs w:val="24"/>
        </w:rPr>
        <w:t>Rule 506-i</w:t>
      </w:r>
      <w:r w:rsidRPr="000225CC">
        <w:rPr>
          <w:rFonts w:ascii="Times New Roman" w:hAnsi="Times New Roman" w:cs="Times New Roman"/>
          <w:sz w:val="24"/>
          <w:szCs w:val="24"/>
        </w:rPr>
        <w:t xml:space="preserve">ssued securities are </w:t>
      </w:r>
      <w:r>
        <w:rPr>
          <w:rFonts w:ascii="Times New Roman" w:hAnsi="Times New Roman" w:cs="Times New Roman"/>
          <w:sz w:val="24"/>
          <w:szCs w:val="24"/>
        </w:rPr>
        <w:t>“R</w:t>
      </w:r>
      <w:r w:rsidRPr="000225CC">
        <w:rPr>
          <w:rFonts w:ascii="Times New Roman" w:hAnsi="Times New Roman" w:cs="Times New Roman"/>
          <w:sz w:val="24"/>
          <w:szCs w:val="24"/>
        </w:rPr>
        <w:t xml:space="preserve">estricted </w:t>
      </w:r>
      <w:r>
        <w:rPr>
          <w:rFonts w:ascii="Times New Roman" w:hAnsi="Times New Roman" w:cs="Times New Roman"/>
          <w:sz w:val="24"/>
          <w:szCs w:val="24"/>
        </w:rPr>
        <w:t>S</w:t>
      </w:r>
      <w:r w:rsidRPr="000225CC">
        <w:rPr>
          <w:rFonts w:ascii="Times New Roman" w:hAnsi="Times New Roman" w:cs="Times New Roman"/>
          <w:sz w:val="24"/>
          <w:szCs w:val="24"/>
        </w:rPr>
        <w:t>ecurities</w:t>
      </w:r>
      <w:r>
        <w:rPr>
          <w:rFonts w:ascii="Times New Roman" w:hAnsi="Times New Roman" w:cs="Times New Roman"/>
          <w:sz w:val="24"/>
          <w:szCs w:val="24"/>
        </w:rPr>
        <w:t>” per Securities Act Rule 144</w:t>
      </w:r>
      <w:r w:rsidRPr="000225CC">
        <w:rPr>
          <w:rFonts w:ascii="Times New Roman" w:hAnsi="Times New Roman" w:cs="Times New Roman"/>
          <w:sz w:val="24"/>
          <w:szCs w:val="24"/>
        </w:rPr>
        <w:t xml:space="preserve"> that can only be </w:t>
      </w:r>
      <w:r>
        <w:rPr>
          <w:rFonts w:ascii="Times New Roman" w:hAnsi="Times New Roman" w:cs="Times New Roman"/>
          <w:sz w:val="24"/>
          <w:szCs w:val="24"/>
        </w:rPr>
        <w:t>re</w:t>
      </w:r>
      <w:r w:rsidRPr="000225CC">
        <w:rPr>
          <w:rFonts w:ascii="Times New Roman" w:hAnsi="Times New Roman" w:cs="Times New Roman"/>
          <w:sz w:val="24"/>
          <w:szCs w:val="24"/>
        </w:rPr>
        <w:t>sold if registered or with a resale exemption.</w:t>
      </w:r>
    </w:p>
    <w:p w:rsidR="00096552"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Information Requirements:</w:t>
      </w:r>
      <w:r>
        <w:rPr>
          <w:rFonts w:ascii="Times New Roman" w:hAnsi="Times New Roman" w:cs="Times New Roman"/>
          <w:sz w:val="24"/>
          <w:szCs w:val="24"/>
        </w:rPr>
        <w:t xml:space="preserve">  There are n</w:t>
      </w:r>
      <w:r w:rsidRPr="000225CC">
        <w:rPr>
          <w:rFonts w:ascii="Times New Roman" w:hAnsi="Times New Roman" w:cs="Times New Roman"/>
          <w:sz w:val="24"/>
          <w:szCs w:val="24"/>
        </w:rPr>
        <w:t xml:space="preserve">o information requirements if only </w:t>
      </w:r>
      <w:r>
        <w:rPr>
          <w:rFonts w:ascii="Times New Roman" w:hAnsi="Times New Roman" w:cs="Times New Roman"/>
          <w:sz w:val="24"/>
          <w:szCs w:val="24"/>
        </w:rPr>
        <w:t>Accredited Investor</w:t>
      </w:r>
      <w:r w:rsidRPr="000225CC">
        <w:rPr>
          <w:rFonts w:ascii="Times New Roman" w:hAnsi="Times New Roman" w:cs="Times New Roman"/>
          <w:sz w:val="24"/>
          <w:szCs w:val="24"/>
        </w:rPr>
        <w:t>s are sold to; if any non-</w:t>
      </w:r>
      <w:r>
        <w:rPr>
          <w:rFonts w:ascii="Times New Roman" w:hAnsi="Times New Roman" w:cs="Times New Roman"/>
          <w:sz w:val="24"/>
          <w:szCs w:val="24"/>
        </w:rPr>
        <w:t>accredited investor</w:t>
      </w:r>
      <w:r w:rsidRPr="000225CC">
        <w:rPr>
          <w:rFonts w:ascii="Times New Roman" w:hAnsi="Times New Roman" w:cs="Times New Roman"/>
          <w:sz w:val="24"/>
          <w:szCs w:val="24"/>
        </w:rPr>
        <w:t>s are sold to</w:t>
      </w:r>
      <w:r>
        <w:rPr>
          <w:rFonts w:ascii="Times New Roman" w:hAnsi="Times New Roman" w:cs="Times New Roman"/>
          <w:sz w:val="24"/>
          <w:szCs w:val="24"/>
        </w:rPr>
        <w:t xml:space="preserve"> under Rule 506(b)</w:t>
      </w:r>
      <w:r w:rsidRPr="000225CC">
        <w:rPr>
          <w:rFonts w:ascii="Times New Roman" w:hAnsi="Times New Roman" w:cs="Times New Roman"/>
          <w:sz w:val="24"/>
          <w:szCs w:val="24"/>
        </w:rPr>
        <w:t>, a</w:t>
      </w:r>
      <w:r>
        <w:rPr>
          <w:rFonts w:ascii="Times New Roman" w:hAnsi="Times New Roman" w:cs="Times New Roman"/>
          <w:sz w:val="24"/>
          <w:szCs w:val="24"/>
        </w:rPr>
        <w:t>n information</w:t>
      </w:r>
      <w:r w:rsidRPr="000225CC">
        <w:rPr>
          <w:rFonts w:ascii="Times New Roman" w:hAnsi="Times New Roman" w:cs="Times New Roman"/>
          <w:sz w:val="24"/>
          <w:szCs w:val="24"/>
        </w:rPr>
        <w:t xml:space="preserve"> disclosure document – a private placement memorandum</w:t>
      </w:r>
      <w:r>
        <w:rPr>
          <w:rFonts w:ascii="Times New Roman" w:hAnsi="Times New Roman" w:cs="Times New Roman"/>
          <w:sz w:val="24"/>
          <w:szCs w:val="24"/>
        </w:rPr>
        <w:t xml:space="preserve"> (“PPM”)</w:t>
      </w:r>
      <w:r w:rsidRPr="000225CC">
        <w:rPr>
          <w:rFonts w:ascii="Times New Roman" w:hAnsi="Times New Roman" w:cs="Times New Roman"/>
          <w:sz w:val="24"/>
          <w:szCs w:val="24"/>
        </w:rPr>
        <w:t xml:space="preserve"> – must be furnished to them</w:t>
      </w:r>
      <w:r>
        <w:rPr>
          <w:rFonts w:ascii="Times New Roman" w:hAnsi="Times New Roman" w:cs="Times New Roman"/>
          <w:sz w:val="24"/>
          <w:szCs w:val="24"/>
        </w:rPr>
        <w:t xml:space="preserve"> containing information as provided for Regulation D Rule 502 (the requirements for financial information scale up with the size of the offering)</w:t>
      </w:r>
      <w:r w:rsidRPr="000225CC">
        <w:rPr>
          <w:rFonts w:ascii="Times New Roman" w:hAnsi="Times New Roman" w:cs="Times New Roman"/>
          <w:sz w:val="24"/>
          <w:szCs w:val="24"/>
        </w:rPr>
        <w:t xml:space="preserve">.  Anti-fraud provisions of </w:t>
      </w:r>
      <w:r>
        <w:rPr>
          <w:rFonts w:ascii="Times New Roman" w:hAnsi="Times New Roman" w:cs="Times New Roman"/>
          <w:sz w:val="24"/>
          <w:szCs w:val="24"/>
        </w:rPr>
        <w:t xml:space="preserve">the </w:t>
      </w:r>
      <w:r w:rsidRPr="000225CC">
        <w:rPr>
          <w:rFonts w:ascii="Times New Roman" w:hAnsi="Times New Roman" w:cs="Times New Roman"/>
          <w:sz w:val="24"/>
          <w:szCs w:val="24"/>
        </w:rPr>
        <w:t>securities laws and regulations apply</w:t>
      </w:r>
      <w:r>
        <w:rPr>
          <w:rFonts w:ascii="Times New Roman" w:hAnsi="Times New Roman" w:cs="Times New Roman"/>
          <w:sz w:val="24"/>
          <w:szCs w:val="24"/>
        </w:rPr>
        <w:t>, notably Securities Act section 17, Exchange Act Rule 10(b) and Rule 10(b)(5) promulgated thereunder</w:t>
      </w:r>
      <w:r w:rsidRPr="000225CC">
        <w:rPr>
          <w:rFonts w:ascii="Times New Roman" w:hAnsi="Times New Roman" w:cs="Times New Roman"/>
          <w:sz w:val="24"/>
          <w:szCs w:val="24"/>
        </w:rPr>
        <w:t xml:space="preserve">. </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Advantages:  Unlimited size of offering; unlimited number of </w:t>
      </w:r>
      <w:r>
        <w:rPr>
          <w:rFonts w:ascii="Times New Roman" w:hAnsi="Times New Roman" w:cs="Times New Roman"/>
          <w:sz w:val="24"/>
          <w:szCs w:val="24"/>
        </w:rPr>
        <w:t>Accredited Investor</w:t>
      </w:r>
      <w:r w:rsidRPr="000225CC">
        <w:rPr>
          <w:rFonts w:ascii="Times New Roman" w:hAnsi="Times New Roman" w:cs="Times New Roman"/>
          <w:sz w:val="24"/>
          <w:szCs w:val="24"/>
        </w:rPr>
        <w:t xml:space="preserve">s, no information requirements if selling only to </w:t>
      </w:r>
      <w:r>
        <w:rPr>
          <w:rFonts w:ascii="Times New Roman" w:hAnsi="Times New Roman" w:cs="Times New Roman"/>
          <w:sz w:val="24"/>
          <w:szCs w:val="24"/>
        </w:rPr>
        <w:t>Accredited Investor</w:t>
      </w:r>
      <w:r w:rsidRPr="000225CC">
        <w:rPr>
          <w:rFonts w:ascii="Times New Roman" w:hAnsi="Times New Roman" w:cs="Times New Roman"/>
          <w:sz w:val="24"/>
          <w:szCs w:val="24"/>
        </w:rPr>
        <w:t>s</w:t>
      </w:r>
      <w:r>
        <w:rPr>
          <w:rFonts w:ascii="Times New Roman" w:hAnsi="Times New Roman" w:cs="Times New Roman"/>
          <w:sz w:val="24"/>
          <w:szCs w:val="24"/>
        </w:rPr>
        <w:t xml:space="preserve">.  Rule 506 is a section 4(a)(2) “safe harbor,” meaning that if its rules are complied with, compliance with section 4(a)(2) is presumed.  In the event of inadvertent non-compliance with Rule 506, the private placement may still comply with the underlying section 4(a)(2), a valuable “fallback” </w:t>
      </w:r>
      <w:r w:rsidR="00D9673F">
        <w:rPr>
          <w:rFonts w:ascii="Times New Roman" w:hAnsi="Times New Roman" w:cs="Times New Roman"/>
          <w:sz w:val="24"/>
          <w:szCs w:val="24"/>
        </w:rPr>
        <w:t xml:space="preserve">safety valve </w:t>
      </w:r>
      <w:r>
        <w:rPr>
          <w:rFonts w:ascii="Times New Roman" w:hAnsi="Times New Roman" w:cs="Times New Roman"/>
          <w:sz w:val="24"/>
          <w:szCs w:val="24"/>
        </w:rPr>
        <w:t xml:space="preserve">feature.  Rule 506 may be combined with other exemptions on the same private placement. </w:t>
      </w:r>
      <w:r w:rsidRPr="000225CC">
        <w:rPr>
          <w:rFonts w:ascii="Times New Roman" w:hAnsi="Times New Roman" w:cs="Times New Roman"/>
          <w:sz w:val="24"/>
          <w:szCs w:val="24"/>
        </w:rPr>
        <w:t xml:space="preserve"> </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lastRenderedPageBreak/>
        <w:t xml:space="preserve">Disadvantages:  The general solicitation permission in Rule 506(c) makes it less likely that the </w:t>
      </w:r>
      <w:r w:rsidR="00C377B4" w:rsidRPr="000225CC">
        <w:rPr>
          <w:rFonts w:ascii="Times New Roman" w:hAnsi="Times New Roman" w:cs="Times New Roman"/>
          <w:sz w:val="24"/>
          <w:szCs w:val="24"/>
        </w:rPr>
        <w:t>fall back</w:t>
      </w:r>
      <w:r w:rsidRPr="000225CC">
        <w:rPr>
          <w:rFonts w:ascii="Times New Roman" w:hAnsi="Times New Roman" w:cs="Times New Roman"/>
          <w:sz w:val="24"/>
          <w:szCs w:val="24"/>
        </w:rPr>
        <w:t xml:space="preserve"> on section 4(a)(2) would be available</w:t>
      </w:r>
      <w:r>
        <w:rPr>
          <w:rFonts w:ascii="Times New Roman" w:hAnsi="Times New Roman" w:cs="Times New Roman"/>
          <w:sz w:val="24"/>
          <w:szCs w:val="24"/>
        </w:rPr>
        <w:t xml:space="preserve"> and more likely that anti-fraud provisions would be breached</w:t>
      </w:r>
      <w:r w:rsidRPr="000225CC">
        <w:rPr>
          <w:rFonts w:ascii="Times New Roman" w:hAnsi="Times New Roman" w:cs="Times New Roman"/>
          <w:sz w:val="24"/>
          <w:szCs w:val="24"/>
        </w:rPr>
        <w:t>.</w:t>
      </w:r>
      <w:r>
        <w:rPr>
          <w:rFonts w:ascii="Times New Roman" w:hAnsi="Times New Roman" w:cs="Times New Roman"/>
          <w:sz w:val="24"/>
          <w:szCs w:val="24"/>
        </w:rPr>
        <w:t xml:space="preserve">  Under Rule 506(c), issuer must take “reasonable steps” to verify Accredited Investor status, slightly the raising compliance burden.  Selling to non-accredited investors activates the Rule 502 requirement of specified Rule 502 PPM disclosure material, somewhat increasing the expense, risk and time required for the private placement (a PPM may optionally be provided to Accredited Investors, of course, and may encourage their investment as well as providing a</w:t>
      </w:r>
      <w:r w:rsidR="005F2F2C">
        <w:rPr>
          <w:rFonts w:ascii="Times New Roman" w:hAnsi="Times New Roman" w:cs="Times New Roman"/>
          <w:sz w:val="24"/>
          <w:szCs w:val="24"/>
        </w:rPr>
        <w:t>n evidentiary</w:t>
      </w:r>
      <w:r>
        <w:rPr>
          <w:rFonts w:ascii="Times New Roman" w:hAnsi="Times New Roman" w:cs="Times New Roman"/>
          <w:sz w:val="24"/>
          <w:szCs w:val="24"/>
        </w:rPr>
        <w:t xml:space="preserve"> record of full disclosure against later claims).  In sum, if </w:t>
      </w:r>
      <w:r w:rsidR="005F2F2C">
        <w:rPr>
          <w:rFonts w:ascii="Times New Roman" w:hAnsi="Times New Roman" w:cs="Times New Roman"/>
          <w:sz w:val="24"/>
          <w:szCs w:val="24"/>
        </w:rPr>
        <w:t xml:space="preserve">the sought –for capital may be raised through </w:t>
      </w:r>
      <w:r>
        <w:rPr>
          <w:rFonts w:ascii="Times New Roman" w:hAnsi="Times New Roman" w:cs="Times New Roman"/>
          <w:sz w:val="24"/>
          <w:szCs w:val="24"/>
        </w:rPr>
        <w:t>only Accredited Investors without general solicitation, using Rule 506(b) instead of Rule 506(c), the regulatory burden is decreased.</w:t>
      </w:r>
    </w:p>
    <w:p w:rsidR="00096552"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Regulation D Rule 504:  the </w:t>
      </w:r>
      <w:r>
        <w:rPr>
          <w:rFonts w:ascii="Times New Roman" w:hAnsi="Times New Roman" w:cs="Times New Roman"/>
          <w:sz w:val="24"/>
          <w:szCs w:val="24"/>
        </w:rPr>
        <w:t xml:space="preserve">Regulation D </w:t>
      </w:r>
      <w:r w:rsidRPr="000225CC">
        <w:rPr>
          <w:rFonts w:ascii="Times New Roman" w:hAnsi="Times New Roman" w:cs="Times New Roman"/>
          <w:sz w:val="24"/>
          <w:szCs w:val="24"/>
        </w:rPr>
        <w:t xml:space="preserve">Section 3(b) </w:t>
      </w:r>
      <w:r>
        <w:rPr>
          <w:rFonts w:ascii="Times New Roman" w:hAnsi="Times New Roman" w:cs="Times New Roman"/>
          <w:sz w:val="24"/>
          <w:szCs w:val="24"/>
        </w:rPr>
        <w:t>Limited Offering Exemption</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Aggregate Offering Price Limitation:  $</w:t>
      </w:r>
      <w:r w:rsidR="00295A97">
        <w:rPr>
          <w:rFonts w:ascii="Times New Roman" w:hAnsi="Times New Roman" w:cs="Times New Roman"/>
          <w:sz w:val="24"/>
          <w:szCs w:val="24"/>
        </w:rPr>
        <w:t>5</w:t>
      </w:r>
      <w:r w:rsidRPr="000225CC">
        <w:rPr>
          <w:rFonts w:ascii="Times New Roman" w:hAnsi="Times New Roman" w:cs="Times New Roman"/>
          <w:sz w:val="24"/>
          <w:szCs w:val="24"/>
        </w:rPr>
        <w:t>,000,000 less the aggregate amount of securities sold in the prior 12 months</w:t>
      </w:r>
      <w:r>
        <w:rPr>
          <w:rFonts w:ascii="Times New Roman" w:hAnsi="Times New Roman" w:cs="Times New Roman"/>
          <w:sz w:val="24"/>
          <w:szCs w:val="24"/>
        </w:rPr>
        <w:t xml:space="preserve"> (under Regulation D generally, offerings and sales of securities by the issuer more than six months before or after the Regulation D offering are not “integrated” with the offering, meaning they do not count against the aggregate offering price limitation).</w:t>
      </w:r>
      <w:r w:rsidR="00D9673F">
        <w:rPr>
          <w:rFonts w:ascii="Times New Roman" w:hAnsi="Times New Roman" w:cs="Times New Roman"/>
          <w:sz w:val="24"/>
          <w:szCs w:val="24"/>
        </w:rPr>
        <w:t xml:space="preserve">  With the repeal of Rule 505 in 2017, Rule 504, which had had a $1,000,000 aggregate offering limit, succeeded to Rule 505’s $5,000,000 limit.</w:t>
      </w:r>
    </w:p>
    <w:p w:rsidR="00096552" w:rsidRPr="000225CC"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Issuer an</w:t>
      </w:r>
      <w:r>
        <w:rPr>
          <w:rFonts w:ascii="Times New Roman" w:hAnsi="Times New Roman" w:cs="Times New Roman"/>
          <w:sz w:val="24"/>
          <w:szCs w:val="24"/>
        </w:rPr>
        <w:t>d Investor Requirements:  Rule 504</w:t>
      </w:r>
      <w:r w:rsidR="00295A97">
        <w:rPr>
          <w:rFonts w:ascii="Times New Roman" w:hAnsi="Times New Roman" w:cs="Times New Roman"/>
          <w:sz w:val="24"/>
          <w:szCs w:val="24"/>
        </w:rPr>
        <w:t xml:space="preserve"> is</w:t>
      </w:r>
      <w:r>
        <w:rPr>
          <w:rFonts w:ascii="Times New Roman" w:hAnsi="Times New Roman" w:cs="Times New Roman"/>
          <w:sz w:val="24"/>
          <w:szCs w:val="24"/>
        </w:rPr>
        <w:t xml:space="preserve"> not available to issuer Exchange Act section 13 or 15(d) reporting companies; investment companies required to register under the Investment Company Act of 1940 (“ICA”) (typically, venture capital and private equity firms are structured to be exempt from ICA registration); and “blank check” companies (companies formed without a business plan or with a business plan only to merge with or acquire another company).  </w:t>
      </w:r>
      <w:r w:rsidR="008C2B14">
        <w:rPr>
          <w:rFonts w:ascii="Times New Roman" w:hAnsi="Times New Roman" w:cs="Times New Roman"/>
          <w:sz w:val="24"/>
          <w:szCs w:val="24"/>
        </w:rPr>
        <w:t xml:space="preserve">Rule 506(d) “bad actor” disqualifications apply as a result of 2017 amendments.  </w:t>
      </w:r>
      <w:r>
        <w:rPr>
          <w:rFonts w:ascii="Times New Roman" w:hAnsi="Times New Roman" w:cs="Times New Roman"/>
          <w:sz w:val="24"/>
          <w:szCs w:val="24"/>
        </w:rPr>
        <w:t xml:space="preserve">Under Rule 504, there is </w:t>
      </w:r>
      <w:r w:rsidRPr="000225CC">
        <w:rPr>
          <w:rFonts w:ascii="Times New Roman" w:hAnsi="Times New Roman" w:cs="Times New Roman"/>
          <w:sz w:val="24"/>
          <w:szCs w:val="24"/>
        </w:rPr>
        <w:t xml:space="preserve">no limit on number of investors and no requirement that they be </w:t>
      </w:r>
      <w:r>
        <w:rPr>
          <w:rFonts w:ascii="Times New Roman" w:hAnsi="Times New Roman" w:cs="Times New Roman"/>
          <w:sz w:val="24"/>
          <w:szCs w:val="24"/>
        </w:rPr>
        <w:t>Accredited Investors or that non-accredited investors be “sophisticated</w:t>
      </w:r>
      <w:r w:rsidRPr="000225CC">
        <w:rPr>
          <w:rFonts w:ascii="Times New Roman" w:hAnsi="Times New Roman" w:cs="Times New Roman"/>
          <w:sz w:val="24"/>
          <w:szCs w:val="24"/>
        </w:rPr>
        <w:t>.</w:t>
      </w:r>
      <w:r>
        <w:rPr>
          <w:rFonts w:ascii="Times New Roman" w:hAnsi="Times New Roman" w:cs="Times New Roman"/>
          <w:sz w:val="24"/>
          <w:szCs w:val="24"/>
        </w:rPr>
        <w:t>”</w:t>
      </w:r>
    </w:p>
    <w:p w:rsidR="00096552" w:rsidRPr="00DD7044"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w:t>
      </w:r>
      <w:r>
        <w:rPr>
          <w:rFonts w:ascii="Times New Roman" w:hAnsi="Times New Roman" w:cs="Times New Roman"/>
          <w:sz w:val="24"/>
          <w:szCs w:val="24"/>
        </w:rPr>
        <w:t>Under Rule 50</w:t>
      </w:r>
      <w:r w:rsidR="008F6542">
        <w:rPr>
          <w:rFonts w:ascii="Times New Roman" w:hAnsi="Times New Roman" w:cs="Times New Roman"/>
          <w:sz w:val="24"/>
          <w:szCs w:val="24"/>
        </w:rPr>
        <w:t>4</w:t>
      </w:r>
      <w:r>
        <w:rPr>
          <w:rFonts w:ascii="Times New Roman" w:hAnsi="Times New Roman" w:cs="Times New Roman"/>
          <w:sz w:val="24"/>
          <w:szCs w:val="24"/>
        </w:rPr>
        <w:t>, generally no general solicitation or advertising is permitted, with some state law exceptions</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SE</w:t>
      </w:r>
      <w:r>
        <w:rPr>
          <w:rFonts w:ascii="Times New Roman" w:hAnsi="Times New Roman" w:cs="Times New Roman"/>
          <w:sz w:val="24"/>
          <w:szCs w:val="24"/>
        </w:rPr>
        <w:t xml:space="preserve">C and State Filing Requirements:  SEC:  </w:t>
      </w:r>
      <w:r w:rsidRPr="000225CC">
        <w:rPr>
          <w:rFonts w:ascii="Times New Roman" w:hAnsi="Times New Roman" w:cs="Times New Roman"/>
          <w:sz w:val="24"/>
          <w:szCs w:val="24"/>
        </w:rPr>
        <w:t xml:space="preserve">Must file SEC Form D within 15 days of first sale.  Filing is not a condition of exemption.  No ongoing reporting.  </w:t>
      </w:r>
      <w:r>
        <w:rPr>
          <w:rFonts w:ascii="Times New Roman" w:hAnsi="Times New Roman" w:cs="Times New Roman"/>
          <w:sz w:val="24"/>
          <w:szCs w:val="24"/>
        </w:rPr>
        <w:t>State:  Must comply with state law</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Limitations on Resales</w:t>
      </w:r>
      <w:r>
        <w:rPr>
          <w:rFonts w:ascii="Times New Roman" w:hAnsi="Times New Roman" w:cs="Times New Roman"/>
          <w:sz w:val="24"/>
          <w:szCs w:val="24"/>
        </w:rPr>
        <w:t>:  Rule 504-i</w:t>
      </w:r>
      <w:r w:rsidRPr="000225CC">
        <w:rPr>
          <w:rFonts w:ascii="Times New Roman" w:hAnsi="Times New Roman" w:cs="Times New Roman"/>
          <w:sz w:val="24"/>
          <w:szCs w:val="24"/>
        </w:rPr>
        <w:t xml:space="preserve">ssued securities are </w:t>
      </w:r>
      <w:r>
        <w:rPr>
          <w:rFonts w:ascii="Times New Roman" w:hAnsi="Times New Roman" w:cs="Times New Roman"/>
          <w:sz w:val="24"/>
          <w:szCs w:val="24"/>
        </w:rPr>
        <w:t>R</w:t>
      </w:r>
      <w:r w:rsidRPr="000225CC">
        <w:rPr>
          <w:rFonts w:ascii="Times New Roman" w:hAnsi="Times New Roman" w:cs="Times New Roman"/>
          <w:sz w:val="24"/>
          <w:szCs w:val="24"/>
        </w:rPr>
        <w:t xml:space="preserve">estricted </w:t>
      </w:r>
      <w:r>
        <w:rPr>
          <w:rFonts w:ascii="Times New Roman" w:hAnsi="Times New Roman" w:cs="Times New Roman"/>
          <w:sz w:val="24"/>
          <w:szCs w:val="24"/>
        </w:rPr>
        <w:t>S</w:t>
      </w:r>
      <w:r w:rsidRPr="000225CC">
        <w:rPr>
          <w:rFonts w:ascii="Times New Roman" w:hAnsi="Times New Roman" w:cs="Times New Roman"/>
          <w:sz w:val="24"/>
          <w:szCs w:val="24"/>
        </w:rPr>
        <w:t>ecurities that can only be sold if registered or with a resale exemption.</w:t>
      </w:r>
    </w:p>
    <w:p w:rsidR="00096552" w:rsidRPr="000225CC"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Information Requirements:  </w:t>
      </w:r>
      <w:r w:rsidR="00B269E5">
        <w:rPr>
          <w:rFonts w:ascii="Times New Roman" w:hAnsi="Times New Roman" w:cs="Times New Roman"/>
          <w:sz w:val="24"/>
          <w:szCs w:val="24"/>
        </w:rPr>
        <w:t>N</w:t>
      </w:r>
      <w:r w:rsidRPr="000225CC">
        <w:rPr>
          <w:rFonts w:ascii="Times New Roman" w:hAnsi="Times New Roman" w:cs="Times New Roman"/>
          <w:sz w:val="24"/>
          <w:szCs w:val="24"/>
        </w:rPr>
        <w:t>o specific information requirements.</w:t>
      </w:r>
      <w:r>
        <w:rPr>
          <w:rFonts w:ascii="Times New Roman" w:hAnsi="Times New Roman" w:cs="Times New Roman"/>
          <w:sz w:val="24"/>
          <w:szCs w:val="24"/>
        </w:rPr>
        <w:t xml:space="preserve">  </w:t>
      </w:r>
      <w:r w:rsidR="008F6542">
        <w:rPr>
          <w:rFonts w:ascii="Times New Roman" w:hAnsi="Times New Roman" w:cs="Times New Roman"/>
          <w:sz w:val="24"/>
          <w:szCs w:val="24"/>
        </w:rPr>
        <w:t xml:space="preserve">The </w:t>
      </w:r>
      <w:r w:rsidRPr="000225CC">
        <w:rPr>
          <w:rFonts w:ascii="Times New Roman" w:hAnsi="Times New Roman" w:cs="Times New Roman"/>
          <w:sz w:val="24"/>
          <w:szCs w:val="24"/>
        </w:rPr>
        <w:t xml:space="preserve"> anti-fraud provisions of securities laws and regulations apply.</w:t>
      </w:r>
    </w:p>
    <w:p w:rsidR="005D7244" w:rsidRPr="00C377B4" w:rsidRDefault="005D7244" w:rsidP="00C377B4">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Advantages:  No limit on number of investors and no requirement they be accredited</w:t>
      </w:r>
      <w:r>
        <w:rPr>
          <w:rFonts w:ascii="Times New Roman" w:hAnsi="Times New Roman" w:cs="Times New Roman"/>
          <w:sz w:val="24"/>
          <w:szCs w:val="24"/>
        </w:rPr>
        <w:t>; no information requirements</w:t>
      </w:r>
      <w:r w:rsidRPr="000225CC">
        <w:rPr>
          <w:rFonts w:ascii="Times New Roman" w:hAnsi="Times New Roman" w:cs="Times New Roman"/>
          <w:sz w:val="24"/>
          <w:szCs w:val="24"/>
        </w:rPr>
        <w:t>.</w:t>
      </w:r>
      <w:r>
        <w:rPr>
          <w:rFonts w:ascii="Times New Roman" w:hAnsi="Times New Roman" w:cs="Times New Roman"/>
          <w:sz w:val="24"/>
          <w:szCs w:val="24"/>
        </w:rPr>
        <w:t xml:space="preserve">  </w:t>
      </w:r>
      <w:r w:rsidR="005D7244">
        <w:rPr>
          <w:rFonts w:ascii="Times New Roman" w:hAnsi="Times New Roman" w:cs="Times New Roman"/>
          <w:sz w:val="24"/>
          <w:szCs w:val="24"/>
        </w:rPr>
        <w:t>N</w:t>
      </w:r>
      <w:r>
        <w:rPr>
          <w:rFonts w:ascii="Times New Roman" w:hAnsi="Times New Roman" w:cs="Times New Roman"/>
          <w:sz w:val="24"/>
          <w:szCs w:val="24"/>
        </w:rPr>
        <w:t>o requirement that investors be “sophisticated.”</w:t>
      </w:r>
      <w:r w:rsidRPr="000225CC">
        <w:rPr>
          <w:rFonts w:ascii="Times New Roman" w:hAnsi="Times New Roman" w:cs="Times New Roman"/>
          <w:sz w:val="24"/>
          <w:szCs w:val="24"/>
        </w:rPr>
        <w:t xml:space="preserve">  </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Disadvantages:  The low aggregate price limitations led to </w:t>
      </w:r>
      <w:r>
        <w:rPr>
          <w:rFonts w:ascii="Times New Roman" w:hAnsi="Times New Roman" w:cs="Times New Roman"/>
          <w:sz w:val="24"/>
          <w:szCs w:val="24"/>
        </w:rPr>
        <w:t xml:space="preserve">decreased </w:t>
      </w:r>
      <w:r w:rsidRPr="000225CC">
        <w:rPr>
          <w:rFonts w:ascii="Times New Roman" w:hAnsi="Times New Roman" w:cs="Times New Roman"/>
          <w:sz w:val="24"/>
          <w:szCs w:val="24"/>
        </w:rPr>
        <w:t>use of Rules 504 and 505</w:t>
      </w:r>
      <w:r>
        <w:rPr>
          <w:rFonts w:ascii="Times New Roman" w:hAnsi="Times New Roman" w:cs="Times New Roman"/>
          <w:sz w:val="24"/>
          <w:szCs w:val="24"/>
        </w:rPr>
        <w:t xml:space="preserve"> compared to Rule 506</w:t>
      </w:r>
      <w:r w:rsidR="005D7244">
        <w:rPr>
          <w:rFonts w:ascii="Times New Roman" w:hAnsi="Times New Roman" w:cs="Times New Roman"/>
          <w:sz w:val="24"/>
          <w:szCs w:val="24"/>
        </w:rPr>
        <w:t>, leading to Rule 505’s 2017 repeal and adoption of its $5,000,000 aggregate offering limit in amended Rule 504, which previously had a $1,000,000 limit</w:t>
      </w:r>
      <w:r w:rsidRPr="000225CC">
        <w:rPr>
          <w:rFonts w:ascii="Times New Roman" w:hAnsi="Times New Roman" w:cs="Times New Roman"/>
          <w:sz w:val="24"/>
          <w:szCs w:val="24"/>
        </w:rPr>
        <w:t>.</w:t>
      </w:r>
      <w:r>
        <w:rPr>
          <w:rFonts w:ascii="Times New Roman" w:hAnsi="Times New Roman" w:cs="Times New Roman"/>
          <w:sz w:val="24"/>
          <w:szCs w:val="24"/>
        </w:rPr>
        <w:t xml:space="preserve">  Rule 504</w:t>
      </w:r>
      <w:r w:rsidR="005D7244">
        <w:rPr>
          <w:rFonts w:ascii="Times New Roman" w:hAnsi="Times New Roman" w:cs="Times New Roman"/>
          <w:sz w:val="24"/>
          <w:szCs w:val="24"/>
        </w:rPr>
        <w:t xml:space="preserve"> is</w:t>
      </w:r>
      <w:r>
        <w:rPr>
          <w:rFonts w:ascii="Times New Roman" w:hAnsi="Times New Roman" w:cs="Times New Roman"/>
          <w:sz w:val="24"/>
          <w:szCs w:val="24"/>
        </w:rPr>
        <w:t xml:space="preserve"> not </w:t>
      </w:r>
      <w:r w:rsidR="00B269E5">
        <w:rPr>
          <w:rFonts w:ascii="Times New Roman" w:hAnsi="Times New Roman" w:cs="Times New Roman"/>
          <w:sz w:val="24"/>
          <w:szCs w:val="24"/>
        </w:rPr>
        <w:t xml:space="preserve">a </w:t>
      </w:r>
      <w:r>
        <w:rPr>
          <w:rFonts w:ascii="Times New Roman" w:hAnsi="Times New Roman" w:cs="Times New Roman"/>
          <w:sz w:val="24"/>
          <w:szCs w:val="24"/>
        </w:rPr>
        <w:t xml:space="preserve">safe harbors for Securities Act section 3(b) compliance, because section 3(b) does not grant a statutory exemption itself the way section 4(a)(2) does, but only authorizes the SEC to promulgate rules like Rule 504 that provide exemptions on an aggregate offering amount-limited ($5 million) basis (Securities Act section 3(a) </w:t>
      </w:r>
      <w:r w:rsidRPr="00C47EE6">
        <w:rPr>
          <w:rFonts w:ascii="Times New Roman" w:hAnsi="Times New Roman" w:cs="Times New Roman"/>
          <w:i/>
          <w:sz w:val="24"/>
          <w:szCs w:val="24"/>
        </w:rPr>
        <w:t>does</w:t>
      </w:r>
      <w:r>
        <w:rPr>
          <w:rFonts w:ascii="Times New Roman" w:hAnsi="Times New Roman" w:cs="Times New Roman"/>
          <w:sz w:val="24"/>
          <w:szCs w:val="24"/>
        </w:rPr>
        <w:t>, by contrast, offer specific exemptions, several of which have safe harbors like Rule 506).  Therefore, if Rule 504 is not complied with, there is no “fallback” on section 3(b), although fallback on sections 4(a)(2) or 3(a)(11) (purely intrastate offerings) (see Sections VI and VIII, below) might be available, depending on circumstances.  However, Securities Act section 28 has modified the aggregate offering price limitations under section 3(b), permitting the SEC to authorize higher dollar amounts, which it has done for other rules (see, for example, discussion of Regulation A and Rule 701 exemptions, Sections IV and V, below).</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t>Regulation A</w:t>
      </w:r>
      <w:r>
        <w:rPr>
          <w:rFonts w:ascii="Times New Roman" w:hAnsi="Times New Roman" w:cs="Times New Roman"/>
          <w:sz w:val="24"/>
          <w:szCs w:val="24"/>
        </w:rPr>
        <w:t>:  the “Conditional ‘Small Offerings’ Exemption” Pursuant to Securities Act Section 3(b).</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Aggregate Offering Price Limitation:  Tier 1:  </w:t>
      </w:r>
      <w:r>
        <w:rPr>
          <w:rFonts w:ascii="Times New Roman" w:hAnsi="Times New Roman" w:cs="Times New Roman"/>
          <w:sz w:val="24"/>
          <w:szCs w:val="24"/>
        </w:rPr>
        <w:t xml:space="preserve">$20 million in prior 12 months; </w:t>
      </w:r>
      <w:r w:rsidRPr="000225CC">
        <w:rPr>
          <w:rFonts w:ascii="Times New Roman" w:hAnsi="Times New Roman" w:cs="Times New Roman"/>
          <w:sz w:val="24"/>
          <w:szCs w:val="24"/>
        </w:rPr>
        <w:t>no more than $</w:t>
      </w:r>
      <w:r>
        <w:rPr>
          <w:rFonts w:ascii="Times New Roman" w:hAnsi="Times New Roman" w:cs="Times New Roman"/>
          <w:sz w:val="24"/>
          <w:szCs w:val="24"/>
        </w:rPr>
        <w:t>6</w:t>
      </w:r>
      <w:r w:rsidRPr="000225CC">
        <w:rPr>
          <w:rFonts w:ascii="Times New Roman" w:hAnsi="Times New Roman" w:cs="Times New Roman"/>
          <w:sz w:val="24"/>
          <w:szCs w:val="24"/>
        </w:rPr>
        <w:t xml:space="preserve"> million by selling security holders.  Tier 2</w:t>
      </w:r>
      <w:r w:rsidR="005D7244">
        <w:rPr>
          <w:rFonts w:ascii="Times New Roman" w:hAnsi="Times New Roman" w:cs="Times New Roman"/>
          <w:sz w:val="24"/>
          <w:szCs w:val="24"/>
        </w:rPr>
        <w:t xml:space="preserve"> (often called “Reg. A+”)</w:t>
      </w:r>
      <w:r w:rsidRPr="000225CC">
        <w:rPr>
          <w:rFonts w:ascii="Times New Roman" w:hAnsi="Times New Roman" w:cs="Times New Roman"/>
          <w:sz w:val="24"/>
          <w:szCs w:val="24"/>
        </w:rPr>
        <w:t>:  $50 million in prior 12 months</w:t>
      </w:r>
      <w:r>
        <w:rPr>
          <w:rFonts w:ascii="Times New Roman" w:hAnsi="Times New Roman" w:cs="Times New Roman"/>
          <w:sz w:val="24"/>
          <w:szCs w:val="24"/>
        </w:rPr>
        <w:t>;</w:t>
      </w:r>
      <w:r w:rsidRPr="000225CC">
        <w:rPr>
          <w:rFonts w:ascii="Times New Roman" w:hAnsi="Times New Roman" w:cs="Times New Roman"/>
          <w:sz w:val="24"/>
          <w:szCs w:val="24"/>
        </w:rPr>
        <w:t xml:space="preserve"> no more than $15 million by selling security holders.</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Iss</w:t>
      </w:r>
      <w:r>
        <w:rPr>
          <w:rFonts w:ascii="Times New Roman" w:hAnsi="Times New Roman" w:cs="Times New Roman"/>
          <w:sz w:val="24"/>
          <w:szCs w:val="24"/>
        </w:rPr>
        <w:t xml:space="preserve">uer and Investor Requirements:  Regulation A is only available to U.S. and Canadian companies, and is not available to Exchange Act reporting companies, investment companies required to register by the ICA and “blank check” companies.  There are no requirements for number or quality of investors under Tier 1; Tier 2 has restrictions on investment limits by </w:t>
      </w:r>
      <w:r>
        <w:rPr>
          <w:rFonts w:ascii="Times New Roman" w:hAnsi="Times New Roman" w:cs="Times New Roman"/>
          <w:sz w:val="24"/>
          <w:szCs w:val="24"/>
        </w:rPr>
        <w:lastRenderedPageBreak/>
        <w:t>investors who are not Accredited Investors pursuant to Regulation D Rule 501 unless the offering is listed on a national securities exchange upon qualification</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“Testing the waters” </w:t>
      </w:r>
      <w:r>
        <w:rPr>
          <w:rFonts w:ascii="Times New Roman" w:hAnsi="Times New Roman" w:cs="Times New Roman"/>
          <w:sz w:val="24"/>
          <w:szCs w:val="24"/>
        </w:rPr>
        <w:t xml:space="preserve">written and oral communications are </w:t>
      </w:r>
      <w:r w:rsidRPr="000225CC">
        <w:rPr>
          <w:rFonts w:ascii="Times New Roman" w:hAnsi="Times New Roman" w:cs="Times New Roman"/>
          <w:sz w:val="24"/>
          <w:szCs w:val="24"/>
        </w:rPr>
        <w:t xml:space="preserve">permitted before filing </w:t>
      </w:r>
      <w:r>
        <w:rPr>
          <w:rFonts w:ascii="Times New Roman" w:hAnsi="Times New Roman" w:cs="Times New Roman"/>
          <w:sz w:val="24"/>
          <w:szCs w:val="24"/>
        </w:rPr>
        <w:t>Form 1-A offering statement.  Sales are permitted once</w:t>
      </w:r>
      <w:r w:rsidRPr="000225CC">
        <w:rPr>
          <w:rFonts w:ascii="Times New Roman" w:hAnsi="Times New Roman" w:cs="Times New Roman"/>
          <w:sz w:val="24"/>
          <w:szCs w:val="24"/>
        </w:rPr>
        <w:t xml:space="preserve"> Form 1-A </w:t>
      </w:r>
      <w:r>
        <w:rPr>
          <w:rFonts w:ascii="Times New Roman" w:hAnsi="Times New Roman" w:cs="Times New Roman"/>
          <w:sz w:val="24"/>
          <w:szCs w:val="24"/>
        </w:rPr>
        <w:t xml:space="preserve">is </w:t>
      </w:r>
      <w:r w:rsidRPr="000225CC">
        <w:rPr>
          <w:rFonts w:ascii="Times New Roman" w:hAnsi="Times New Roman" w:cs="Times New Roman"/>
          <w:sz w:val="24"/>
          <w:szCs w:val="24"/>
        </w:rPr>
        <w:t>qualified.</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SEC and State Filing Requirements:  </w:t>
      </w:r>
      <w:r>
        <w:rPr>
          <w:rFonts w:ascii="Times New Roman" w:hAnsi="Times New Roman" w:cs="Times New Roman"/>
          <w:sz w:val="24"/>
          <w:szCs w:val="24"/>
        </w:rPr>
        <w:t>SEC:  issuer m</w:t>
      </w:r>
      <w:r w:rsidRPr="000225CC">
        <w:rPr>
          <w:rFonts w:ascii="Times New Roman" w:hAnsi="Times New Roman" w:cs="Times New Roman"/>
          <w:sz w:val="24"/>
          <w:szCs w:val="24"/>
        </w:rPr>
        <w:t>ust file Form 1-A</w:t>
      </w:r>
      <w:r>
        <w:rPr>
          <w:rFonts w:ascii="Times New Roman" w:hAnsi="Times New Roman" w:cs="Times New Roman"/>
          <w:sz w:val="24"/>
          <w:szCs w:val="24"/>
        </w:rPr>
        <w:t xml:space="preserve"> offering statement</w:t>
      </w:r>
      <w:r w:rsidRPr="000225CC">
        <w:rPr>
          <w:rFonts w:ascii="Times New Roman" w:hAnsi="Times New Roman" w:cs="Times New Roman"/>
          <w:sz w:val="24"/>
          <w:szCs w:val="24"/>
        </w:rPr>
        <w:t xml:space="preserve">, any sales material and Form 2-A report of sales </w:t>
      </w:r>
      <w:r>
        <w:rPr>
          <w:rFonts w:ascii="Times New Roman" w:hAnsi="Times New Roman" w:cs="Times New Roman"/>
          <w:sz w:val="24"/>
          <w:szCs w:val="24"/>
        </w:rPr>
        <w:t xml:space="preserve">and use of proceeds.  Tier 1:  Must file an “Exit Statement” on Form 1-Z at termination of offering, but no ongoing reporting.  </w:t>
      </w:r>
      <w:r w:rsidRPr="000225CC">
        <w:rPr>
          <w:rFonts w:ascii="Times New Roman" w:hAnsi="Times New Roman" w:cs="Times New Roman"/>
          <w:sz w:val="24"/>
          <w:szCs w:val="24"/>
        </w:rPr>
        <w:t>Tier 2:  Ongoing reporting</w:t>
      </w:r>
      <w:r>
        <w:rPr>
          <w:rFonts w:ascii="Times New Roman" w:hAnsi="Times New Roman" w:cs="Times New Roman"/>
          <w:sz w:val="24"/>
          <w:szCs w:val="24"/>
        </w:rPr>
        <w:t>; must file annual reports on Form 1-K as well as special financial, semiannual and current reports</w:t>
      </w:r>
      <w:r w:rsidRPr="000225CC">
        <w:rPr>
          <w:rFonts w:ascii="Times New Roman" w:hAnsi="Times New Roman" w:cs="Times New Roman"/>
          <w:sz w:val="24"/>
          <w:szCs w:val="24"/>
        </w:rPr>
        <w:t xml:space="preserve">.  State:  Tier 1: </w:t>
      </w:r>
      <w:r>
        <w:rPr>
          <w:rFonts w:ascii="Times New Roman" w:hAnsi="Times New Roman" w:cs="Times New Roman"/>
          <w:sz w:val="24"/>
          <w:szCs w:val="24"/>
        </w:rPr>
        <w:t>Must comply with s</w:t>
      </w:r>
      <w:r w:rsidRPr="000225CC">
        <w:rPr>
          <w:rFonts w:ascii="Times New Roman" w:hAnsi="Times New Roman" w:cs="Times New Roman"/>
          <w:sz w:val="24"/>
          <w:szCs w:val="24"/>
        </w:rPr>
        <w:t xml:space="preserve">tate law.  Tier 2:  </w:t>
      </w:r>
      <w:r>
        <w:rPr>
          <w:rFonts w:ascii="Times New Roman" w:hAnsi="Times New Roman" w:cs="Times New Roman"/>
          <w:sz w:val="24"/>
          <w:szCs w:val="24"/>
        </w:rPr>
        <w:t>Exempt from s</w:t>
      </w:r>
      <w:r w:rsidRPr="000225CC">
        <w:rPr>
          <w:rFonts w:ascii="Times New Roman" w:hAnsi="Times New Roman" w:cs="Times New Roman"/>
          <w:sz w:val="24"/>
          <w:szCs w:val="24"/>
        </w:rPr>
        <w:t>tate filing as “</w:t>
      </w:r>
      <w:r>
        <w:rPr>
          <w:rFonts w:ascii="Times New Roman" w:hAnsi="Times New Roman" w:cs="Times New Roman"/>
          <w:sz w:val="24"/>
          <w:szCs w:val="24"/>
        </w:rPr>
        <w:t>C</w:t>
      </w:r>
      <w:r w:rsidRPr="000225CC">
        <w:rPr>
          <w:rFonts w:ascii="Times New Roman" w:hAnsi="Times New Roman" w:cs="Times New Roman"/>
          <w:sz w:val="24"/>
          <w:szCs w:val="24"/>
        </w:rPr>
        <w:t xml:space="preserve">overed </w:t>
      </w:r>
      <w:r>
        <w:rPr>
          <w:rFonts w:ascii="Times New Roman" w:hAnsi="Times New Roman" w:cs="Times New Roman"/>
          <w:sz w:val="24"/>
          <w:szCs w:val="24"/>
        </w:rPr>
        <w:t>S</w:t>
      </w:r>
      <w:r w:rsidRPr="000225CC">
        <w:rPr>
          <w:rFonts w:ascii="Times New Roman" w:hAnsi="Times New Roman" w:cs="Times New Roman"/>
          <w:sz w:val="24"/>
          <w:szCs w:val="24"/>
        </w:rPr>
        <w:t xml:space="preserve">ecurities” under Securities Act section 18.    </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Resales:  None; securities are </w:t>
      </w:r>
      <w:r>
        <w:rPr>
          <w:rFonts w:ascii="Times New Roman" w:hAnsi="Times New Roman" w:cs="Times New Roman"/>
          <w:sz w:val="24"/>
          <w:szCs w:val="24"/>
        </w:rPr>
        <w:t xml:space="preserve">not restricted securities and are </w:t>
      </w:r>
      <w:r w:rsidRPr="000225CC">
        <w:rPr>
          <w:rFonts w:ascii="Times New Roman" w:hAnsi="Times New Roman" w:cs="Times New Roman"/>
          <w:sz w:val="24"/>
          <w:szCs w:val="24"/>
        </w:rPr>
        <w:t>freely resalable.</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Information Requirements:</w:t>
      </w:r>
      <w:r>
        <w:rPr>
          <w:rFonts w:ascii="Times New Roman" w:hAnsi="Times New Roman" w:cs="Times New Roman"/>
          <w:sz w:val="24"/>
          <w:szCs w:val="24"/>
        </w:rPr>
        <w:t xml:space="preserve">  File detailed Form 1-A offering statement pursuant to Regulation A+ Rule 252 with the SEC, along with </w:t>
      </w:r>
      <w:r w:rsidRPr="000225CC">
        <w:rPr>
          <w:rFonts w:ascii="Times New Roman" w:hAnsi="Times New Roman" w:cs="Times New Roman"/>
          <w:sz w:val="24"/>
          <w:szCs w:val="24"/>
        </w:rPr>
        <w:t>any sales material and Form 2-A report of sales and use of proceeds</w:t>
      </w:r>
      <w:r>
        <w:rPr>
          <w:rFonts w:ascii="Times New Roman" w:hAnsi="Times New Roman" w:cs="Times New Roman"/>
          <w:sz w:val="24"/>
          <w:szCs w:val="24"/>
        </w:rPr>
        <w:t xml:space="preserve">.  </w:t>
      </w:r>
      <w:r w:rsidRPr="000225CC">
        <w:rPr>
          <w:rFonts w:ascii="Times New Roman" w:hAnsi="Times New Roman" w:cs="Times New Roman"/>
          <w:sz w:val="24"/>
          <w:szCs w:val="24"/>
        </w:rPr>
        <w:t>Anti-fraud provisions of securities laws and regulations apply</w:t>
      </w:r>
      <w:r>
        <w:rPr>
          <w:rFonts w:ascii="Times New Roman" w:hAnsi="Times New Roman" w:cs="Times New Roman"/>
          <w:sz w:val="24"/>
          <w:szCs w:val="24"/>
        </w:rPr>
        <w:t>.</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Advantages:  </w:t>
      </w:r>
      <w:r>
        <w:rPr>
          <w:rFonts w:ascii="Times New Roman" w:hAnsi="Times New Roman" w:cs="Times New Roman"/>
          <w:sz w:val="24"/>
          <w:szCs w:val="24"/>
        </w:rPr>
        <w:t xml:space="preserve">No investor qualifications for Tier 1, and modest requirements for Tier 2.  “Testing the waters” communications permitted.  Existing security holders can sell into the offering subject to Tier 1 and Tier 2 limits.  </w:t>
      </w:r>
      <w:r w:rsidRPr="000225CC">
        <w:rPr>
          <w:rFonts w:ascii="Times New Roman" w:hAnsi="Times New Roman" w:cs="Times New Roman"/>
          <w:sz w:val="24"/>
          <w:szCs w:val="24"/>
        </w:rPr>
        <w:t xml:space="preserve">Securities are </w:t>
      </w:r>
      <w:r>
        <w:rPr>
          <w:rFonts w:ascii="Times New Roman" w:hAnsi="Times New Roman" w:cs="Times New Roman"/>
          <w:sz w:val="24"/>
          <w:szCs w:val="24"/>
        </w:rPr>
        <w:t xml:space="preserve">not restricted and </w:t>
      </w:r>
      <w:r w:rsidRPr="000225CC">
        <w:rPr>
          <w:rFonts w:ascii="Times New Roman" w:hAnsi="Times New Roman" w:cs="Times New Roman"/>
          <w:sz w:val="24"/>
          <w:szCs w:val="24"/>
        </w:rPr>
        <w:t>freely resalable.</w:t>
      </w:r>
      <w:r>
        <w:rPr>
          <w:rFonts w:ascii="Times New Roman" w:hAnsi="Times New Roman" w:cs="Times New Roman"/>
          <w:sz w:val="24"/>
          <w:szCs w:val="24"/>
        </w:rPr>
        <w:t xml:space="preserve">  Disclosure documents, while more onerous than a typical Regulation D Rule 502 PPM, are less onerous and costly than a full Securities Act section 5 registration statement.  No integration of prior sales to limit aggregate size of offering.  Limited integration for post-offering sales.</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Disadvantages:  </w:t>
      </w:r>
      <w:r>
        <w:rPr>
          <w:rFonts w:ascii="Times New Roman" w:hAnsi="Times New Roman" w:cs="Times New Roman"/>
          <w:sz w:val="24"/>
          <w:szCs w:val="24"/>
        </w:rPr>
        <w:t xml:space="preserve">Despite providing a Securities Act section 5 exemption, Regulation A is itself a public offering requiring (1) a significant public offering statement filing on Form 1-A (less than a typical section 5 registration statement, but more than a typical Regulation D Rule 502 PPM, and which must be filed with the SEC); and (2) ongoing reporting for Tier 2 offerings.  Regulation A is not available to non-U.S. or Canadian companies, Exchange Act reporting companies, some investment companies and “blank check” companies.  As with Regulation D Rule 504, Regulation A does </w:t>
      </w:r>
      <w:r w:rsidRPr="009F1D9D">
        <w:rPr>
          <w:rFonts w:ascii="Times New Roman" w:hAnsi="Times New Roman" w:cs="Times New Roman"/>
          <w:i/>
          <w:sz w:val="24"/>
          <w:szCs w:val="24"/>
        </w:rPr>
        <w:t>not</w:t>
      </w:r>
      <w:r>
        <w:rPr>
          <w:rFonts w:ascii="Times New Roman" w:hAnsi="Times New Roman" w:cs="Times New Roman"/>
          <w:sz w:val="24"/>
          <w:szCs w:val="24"/>
        </w:rPr>
        <w:t xml:space="preserve"> provide a safe harbor with a fallback to Securities Act section 3(b). </w:t>
      </w:r>
    </w:p>
    <w:p w:rsidR="00096552" w:rsidRPr="000225CC"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lastRenderedPageBreak/>
        <w:t>Rule 701</w:t>
      </w:r>
      <w:r>
        <w:rPr>
          <w:rFonts w:ascii="Times New Roman" w:hAnsi="Times New Roman" w:cs="Times New Roman"/>
          <w:sz w:val="24"/>
          <w:szCs w:val="24"/>
        </w:rPr>
        <w:t>: Securities Issued as Compensation for Directors, Officers and Employees.</w:t>
      </w:r>
    </w:p>
    <w:p w:rsidR="00096552" w:rsidRPr="000225CC"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Aggregate Offering Price Limitation:  </w:t>
      </w:r>
      <w:r>
        <w:rPr>
          <w:rFonts w:ascii="Times New Roman" w:hAnsi="Times New Roman" w:cs="Times New Roman"/>
          <w:sz w:val="24"/>
          <w:szCs w:val="24"/>
        </w:rPr>
        <w:t>During the prior 12 months, the greater of:  $1 million, or 15% of issuer’s total assets (or issuer’s parent if issuer is a wholly-owned subsidiary of parent and parent unconditionally guarantees the securities), or 15% of issuer’s outstanding securities of the same class</w:t>
      </w:r>
      <w:r w:rsidRPr="000225CC">
        <w:rPr>
          <w:rFonts w:ascii="Times New Roman" w:hAnsi="Times New Roman" w:cs="Times New Roman"/>
          <w:sz w:val="24"/>
          <w:szCs w:val="24"/>
        </w:rPr>
        <w:t>.</w:t>
      </w:r>
      <w:r>
        <w:rPr>
          <w:rFonts w:ascii="Times New Roman" w:hAnsi="Times New Roman" w:cs="Times New Roman"/>
          <w:sz w:val="24"/>
          <w:szCs w:val="24"/>
        </w:rPr>
        <w:t xml:space="preserve">  No integration with any other exempt or registered offers or sales.</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Issuer and Investor Requirements:  </w:t>
      </w:r>
      <w:r>
        <w:rPr>
          <w:rFonts w:ascii="Times New Roman" w:hAnsi="Times New Roman" w:cs="Times New Roman"/>
          <w:sz w:val="24"/>
          <w:szCs w:val="24"/>
        </w:rPr>
        <w:t>Rule 701 is not available to Exchange Act reporting companies or investment companies required to register by the ICA.  Investors must be officers, directors, employees and consultants or advisors of the issuer receiving securities as compensation, for example, in a stock purchase or award, stock option plan, or as part of an individual employment agreement</w:t>
      </w:r>
      <w:r w:rsidRPr="000225CC">
        <w:rPr>
          <w:rFonts w:ascii="Times New Roman" w:hAnsi="Times New Roman" w:cs="Times New Roman"/>
          <w:sz w:val="24"/>
          <w:szCs w:val="24"/>
        </w:rPr>
        <w:t>.</w:t>
      </w:r>
      <w:r>
        <w:rPr>
          <w:rFonts w:ascii="Times New Roman" w:hAnsi="Times New Roman" w:cs="Times New Roman"/>
          <w:sz w:val="24"/>
          <w:szCs w:val="24"/>
        </w:rPr>
        <w:t xml:space="preserve">  No other investor sophistication requirements.  </w:t>
      </w:r>
    </w:p>
    <w:p w:rsidR="00096552" w:rsidRPr="00D8310F" w:rsidRDefault="00096552" w:rsidP="00096552">
      <w:pPr>
        <w:ind w:left="1080"/>
        <w:jc w:val="both"/>
        <w:rPr>
          <w:rFonts w:ascii="Times New Roman" w:hAnsi="Times New Roman"/>
          <w:sz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w:t>
      </w:r>
      <w:r>
        <w:rPr>
          <w:rFonts w:ascii="Times New Roman" w:hAnsi="Times New Roman" w:cs="Times New Roman"/>
          <w:sz w:val="24"/>
          <w:szCs w:val="24"/>
        </w:rPr>
        <w:t>Limited to offerings to officers, directors, employees and consultants or advisors of issuer as compensation, for example, in a stock purchase or award, stock option plan, or as part of an individual employment agreement</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SE</w:t>
      </w:r>
      <w:r>
        <w:rPr>
          <w:rFonts w:ascii="Times New Roman" w:hAnsi="Times New Roman" w:cs="Times New Roman"/>
          <w:sz w:val="24"/>
          <w:szCs w:val="24"/>
        </w:rPr>
        <w:t>C and State Filing Requirements:  SEC:  None.  State:  Must comply with state law.</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Limitations on Resales:</w:t>
      </w:r>
      <w:r>
        <w:rPr>
          <w:rFonts w:ascii="Times New Roman" w:hAnsi="Times New Roman" w:cs="Times New Roman"/>
          <w:sz w:val="24"/>
          <w:szCs w:val="24"/>
        </w:rPr>
        <w:t xml:space="preserve">  R</w:t>
      </w:r>
      <w:r w:rsidRPr="000225CC">
        <w:rPr>
          <w:rFonts w:ascii="Times New Roman" w:hAnsi="Times New Roman" w:cs="Times New Roman"/>
          <w:sz w:val="24"/>
          <w:szCs w:val="24"/>
        </w:rPr>
        <w:t xml:space="preserve">estricted securities that can only be </w:t>
      </w:r>
      <w:r>
        <w:rPr>
          <w:rFonts w:ascii="Times New Roman" w:hAnsi="Times New Roman" w:cs="Times New Roman"/>
          <w:sz w:val="24"/>
          <w:szCs w:val="24"/>
        </w:rPr>
        <w:t>re</w:t>
      </w:r>
      <w:r w:rsidRPr="000225CC">
        <w:rPr>
          <w:rFonts w:ascii="Times New Roman" w:hAnsi="Times New Roman" w:cs="Times New Roman"/>
          <w:sz w:val="24"/>
          <w:szCs w:val="24"/>
        </w:rPr>
        <w:t>sold if registered or with a resale exemption</w:t>
      </w:r>
      <w:r>
        <w:rPr>
          <w:rFonts w:ascii="Times New Roman" w:hAnsi="Times New Roman" w:cs="Times New Roman"/>
          <w:sz w:val="24"/>
          <w:szCs w:val="24"/>
        </w:rPr>
        <w:t>, including exemption provided by Rule 701 if issuer becomes an Exchange Act reporting company</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Information Requirements:</w:t>
      </w:r>
      <w:r>
        <w:rPr>
          <w:rFonts w:ascii="Times New Roman" w:hAnsi="Times New Roman" w:cs="Times New Roman"/>
          <w:sz w:val="24"/>
          <w:szCs w:val="24"/>
        </w:rPr>
        <w:t xml:space="preserve">  Compensatory benefit plan or contract, as the case may be, must be provided.  No specific information requirements unless more than $5 million in securities are offered in a 12 month period, in which case certain specific disclosure information must be provided.  </w:t>
      </w:r>
      <w:r w:rsidRPr="000225CC">
        <w:rPr>
          <w:rFonts w:ascii="Times New Roman" w:hAnsi="Times New Roman" w:cs="Times New Roman"/>
          <w:sz w:val="24"/>
          <w:szCs w:val="24"/>
        </w:rPr>
        <w:t>Anti-frau</w:t>
      </w:r>
      <w:r>
        <w:rPr>
          <w:rFonts w:ascii="Times New Roman" w:hAnsi="Times New Roman" w:cs="Times New Roman"/>
          <w:sz w:val="24"/>
          <w:szCs w:val="24"/>
        </w:rPr>
        <w:t xml:space="preserve">d provisions of securities laws </w:t>
      </w:r>
      <w:r w:rsidRPr="000225CC">
        <w:rPr>
          <w:rFonts w:ascii="Times New Roman" w:hAnsi="Times New Roman" w:cs="Times New Roman"/>
          <w:sz w:val="24"/>
          <w:szCs w:val="24"/>
        </w:rPr>
        <w:t>and regulations apply</w:t>
      </w:r>
      <w:r>
        <w:rPr>
          <w:rFonts w:ascii="Times New Roman" w:hAnsi="Times New Roman" w:cs="Times New Roman"/>
          <w:sz w:val="24"/>
          <w:szCs w:val="24"/>
        </w:rPr>
        <w:t>.</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Advantages:</w:t>
      </w:r>
      <w:r>
        <w:rPr>
          <w:rFonts w:ascii="Times New Roman" w:hAnsi="Times New Roman" w:cs="Times New Roman"/>
          <w:sz w:val="24"/>
          <w:szCs w:val="24"/>
        </w:rPr>
        <w:t xml:space="preserve">  The limited applicability of Rule 701 is expressly adapted for executive and employee securities-based compensation.  Because exempted securities become available for resale only months after the issuer becomes an Exchange Act reporting company, the Rule 701 exemption is ideal for executive stock awards and stock option plans for which the issuer wishes to bind the employee to the company until it conducts an initial public offering or a reverse merger.  When the exemption is combined with vesting cliffs in a stock option plan, for example, the issuer has extensive leverage to retain key employees.  </w:t>
      </w:r>
      <w:r w:rsidRPr="000225CC">
        <w:rPr>
          <w:rFonts w:ascii="Times New Roman" w:hAnsi="Times New Roman" w:cs="Times New Roman"/>
          <w:sz w:val="24"/>
          <w:szCs w:val="24"/>
        </w:rPr>
        <w:t xml:space="preserve">  </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lastRenderedPageBreak/>
        <w:t xml:space="preserve">Disadvantages:  </w:t>
      </w:r>
      <w:r>
        <w:rPr>
          <w:rFonts w:ascii="Times New Roman" w:hAnsi="Times New Roman" w:cs="Times New Roman"/>
          <w:sz w:val="24"/>
          <w:szCs w:val="24"/>
        </w:rPr>
        <w:t>Rule 701 is not available for any purpose other than executive and employee-based compensation</w:t>
      </w:r>
      <w:r w:rsidRPr="000225CC">
        <w:rPr>
          <w:rFonts w:ascii="Times New Roman" w:hAnsi="Times New Roman" w:cs="Times New Roman"/>
          <w:sz w:val="24"/>
          <w:szCs w:val="24"/>
        </w:rPr>
        <w:t>.</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t>S</w:t>
      </w:r>
      <w:r>
        <w:rPr>
          <w:rFonts w:ascii="Times New Roman" w:hAnsi="Times New Roman" w:cs="Times New Roman"/>
          <w:sz w:val="24"/>
          <w:szCs w:val="24"/>
        </w:rPr>
        <w:t>ecurities Act S</w:t>
      </w:r>
      <w:r w:rsidRPr="000225CC">
        <w:rPr>
          <w:rFonts w:ascii="Times New Roman" w:hAnsi="Times New Roman" w:cs="Times New Roman"/>
          <w:sz w:val="24"/>
          <w:szCs w:val="24"/>
        </w:rPr>
        <w:t>ection 4(</w:t>
      </w:r>
      <w:r>
        <w:rPr>
          <w:rFonts w:ascii="Times New Roman" w:hAnsi="Times New Roman" w:cs="Times New Roman"/>
          <w:sz w:val="24"/>
          <w:szCs w:val="24"/>
        </w:rPr>
        <w:t>a</w:t>
      </w:r>
      <w:r w:rsidRPr="000225CC">
        <w:rPr>
          <w:rFonts w:ascii="Times New Roman" w:hAnsi="Times New Roman" w:cs="Times New Roman"/>
          <w:sz w:val="24"/>
          <w:szCs w:val="24"/>
        </w:rPr>
        <w:t>)</w:t>
      </w:r>
      <w:r>
        <w:rPr>
          <w:rFonts w:ascii="Times New Roman" w:hAnsi="Times New Roman" w:cs="Times New Roman"/>
          <w:sz w:val="24"/>
          <w:szCs w:val="24"/>
        </w:rPr>
        <w:t xml:space="preserve">(2):  The General Private Placement Exemption. </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Aggregate Offering Price Limitation:  </w:t>
      </w:r>
      <w:r>
        <w:rPr>
          <w:rFonts w:ascii="Times New Roman" w:hAnsi="Times New Roman" w:cs="Times New Roman"/>
          <w:sz w:val="24"/>
          <w:szCs w:val="24"/>
        </w:rPr>
        <w:t>No aggregate price limitation</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Issuer and Investor Requirements:  </w:t>
      </w:r>
      <w:r>
        <w:rPr>
          <w:rFonts w:ascii="Times New Roman" w:hAnsi="Times New Roman" w:cs="Times New Roman"/>
          <w:sz w:val="24"/>
          <w:szCs w:val="24"/>
        </w:rPr>
        <w:t>No issuer qualifications.  Investors must meet sophistication and access to information test, but no formal limit on number and quality</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w:t>
      </w:r>
      <w:r>
        <w:rPr>
          <w:rFonts w:ascii="Times New Roman" w:hAnsi="Times New Roman" w:cs="Times New Roman"/>
          <w:sz w:val="24"/>
          <w:szCs w:val="24"/>
        </w:rPr>
        <w:t>No general solicitation or advertising</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SEC and State Filing Requirements</w:t>
      </w:r>
      <w:r>
        <w:rPr>
          <w:rFonts w:ascii="Times New Roman" w:hAnsi="Times New Roman" w:cs="Times New Roman"/>
          <w:sz w:val="24"/>
          <w:szCs w:val="24"/>
        </w:rPr>
        <w:t>:  SEC:  No SEC filing.  State:  Must comply with state law</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Limitations on Resales:</w:t>
      </w:r>
      <w:r>
        <w:rPr>
          <w:rFonts w:ascii="Times New Roman" w:hAnsi="Times New Roman" w:cs="Times New Roman"/>
          <w:sz w:val="24"/>
          <w:szCs w:val="24"/>
        </w:rPr>
        <w:t xml:space="preserve">  Section 4(a)(2)-issued securities are Restricted</w:t>
      </w:r>
      <w:r w:rsidRPr="00564FD9">
        <w:rPr>
          <w:rFonts w:ascii="Times New Roman" w:hAnsi="Times New Roman" w:cs="Times New Roman"/>
          <w:sz w:val="24"/>
          <w:szCs w:val="24"/>
        </w:rPr>
        <w:t xml:space="preserve"> </w:t>
      </w:r>
      <w:r>
        <w:rPr>
          <w:rFonts w:ascii="Times New Roman" w:hAnsi="Times New Roman" w:cs="Times New Roman"/>
          <w:sz w:val="24"/>
          <w:szCs w:val="24"/>
        </w:rPr>
        <w:t>S</w:t>
      </w:r>
      <w:r w:rsidRPr="000225CC">
        <w:rPr>
          <w:rFonts w:ascii="Times New Roman" w:hAnsi="Times New Roman" w:cs="Times New Roman"/>
          <w:sz w:val="24"/>
          <w:szCs w:val="24"/>
        </w:rPr>
        <w:t>ecurities that can only be sold if registered or with a resale exemption.</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Information Requirements:</w:t>
      </w:r>
      <w:r>
        <w:rPr>
          <w:rFonts w:ascii="Times New Roman" w:hAnsi="Times New Roman" w:cs="Times New Roman"/>
          <w:sz w:val="24"/>
          <w:szCs w:val="24"/>
        </w:rPr>
        <w:t xml:space="preserve">  No formal requirements.  </w:t>
      </w:r>
      <w:r w:rsidRPr="000225CC">
        <w:rPr>
          <w:rFonts w:ascii="Times New Roman" w:hAnsi="Times New Roman" w:cs="Times New Roman"/>
          <w:sz w:val="24"/>
          <w:szCs w:val="24"/>
        </w:rPr>
        <w:t>Anti-fraud provisions of securities laws and regulations apply</w:t>
      </w:r>
      <w:r>
        <w:rPr>
          <w:rFonts w:ascii="Times New Roman" w:hAnsi="Times New Roman" w:cs="Times New Roman"/>
          <w:sz w:val="24"/>
          <w:szCs w:val="24"/>
        </w:rPr>
        <w:t>.</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Advantages:</w:t>
      </w:r>
      <w:r>
        <w:rPr>
          <w:rFonts w:ascii="Times New Roman" w:hAnsi="Times New Roman" w:cs="Times New Roman"/>
          <w:sz w:val="24"/>
          <w:szCs w:val="24"/>
        </w:rPr>
        <w:t xml:space="preserve">  Low documentary and regulatory burden when dealing with only institutional investors (venture capital funds, etc.).  No price limitation, no information requirements, no SEC filing.</w:t>
      </w:r>
      <w:r w:rsidRPr="000225CC">
        <w:rPr>
          <w:rFonts w:ascii="Times New Roman" w:hAnsi="Times New Roman" w:cs="Times New Roman"/>
          <w:sz w:val="24"/>
          <w:szCs w:val="24"/>
        </w:rPr>
        <w:t xml:space="preserve">  </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Disadvantages:  </w:t>
      </w:r>
      <w:r>
        <w:rPr>
          <w:rFonts w:ascii="Times New Roman" w:hAnsi="Times New Roman" w:cs="Times New Roman"/>
          <w:sz w:val="24"/>
          <w:szCs w:val="24"/>
        </w:rPr>
        <w:t>No safe harbor, no protection if investors turn out not to have met sophistication and access to information test or if the transaction is later determined to have violated the rule of “not involving any public offering</w:t>
      </w:r>
      <w:r w:rsidRPr="000225CC">
        <w:rPr>
          <w:rFonts w:ascii="Times New Roman" w:hAnsi="Times New Roman" w:cs="Times New Roman"/>
          <w:sz w:val="24"/>
          <w:szCs w:val="24"/>
        </w:rPr>
        <w:t>.</w:t>
      </w:r>
      <w:r>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b/>
          <w:sz w:val="24"/>
          <w:szCs w:val="24"/>
        </w:rPr>
      </w:pPr>
    </w:p>
    <w:p w:rsidR="00096552"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t>Se</w:t>
      </w:r>
      <w:r>
        <w:rPr>
          <w:rFonts w:ascii="Times New Roman" w:hAnsi="Times New Roman" w:cs="Times New Roman"/>
          <w:sz w:val="24"/>
          <w:szCs w:val="24"/>
        </w:rPr>
        <w:t>curities Act Se</w:t>
      </w:r>
      <w:r w:rsidRPr="000225CC">
        <w:rPr>
          <w:rFonts w:ascii="Times New Roman" w:hAnsi="Times New Roman" w:cs="Times New Roman"/>
          <w:sz w:val="24"/>
          <w:szCs w:val="24"/>
        </w:rPr>
        <w:t>ction 4</w:t>
      </w:r>
      <w:r>
        <w:rPr>
          <w:rFonts w:ascii="Times New Roman" w:hAnsi="Times New Roman" w:cs="Times New Roman"/>
          <w:sz w:val="24"/>
          <w:szCs w:val="24"/>
        </w:rPr>
        <w:t>(a)</w:t>
      </w:r>
      <w:r w:rsidRPr="000225CC">
        <w:rPr>
          <w:rFonts w:ascii="Times New Roman" w:hAnsi="Times New Roman" w:cs="Times New Roman"/>
          <w:sz w:val="24"/>
          <w:szCs w:val="24"/>
        </w:rPr>
        <w:t>(6)</w:t>
      </w:r>
      <w:r>
        <w:rPr>
          <w:rFonts w:ascii="Times New Roman" w:hAnsi="Times New Roman" w:cs="Times New Roman"/>
          <w:sz w:val="24"/>
          <w:szCs w:val="24"/>
        </w:rPr>
        <w:t>:  the “Crowdfunding” Exemption Pursuant to the JOBS Act.</w:t>
      </w:r>
    </w:p>
    <w:p w:rsidR="00096552"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Aggregate Offering Price Limitation:  $1,0</w:t>
      </w:r>
      <w:r w:rsidR="00EB4015">
        <w:rPr>
          <w:rFonts w:ascii="Times New Roman" w:hAnsi="Times New Roman" w:cs="Times New Roman"/>
          <w:sz w:val="24"/>
          <w:szCs w:val="24"/>
        </w:rPr>
        <w:t>7</w:t>
      </w:r>
      <w:r w:rsidRPr="000225CC">
        <w:rPr>
          <w:rFonts w:ascii="Times New Roman" w:hAnsi="Times New Roman" w:cs="Times New Roman"/>
          <w:sz w:val="24"/>
          <w:szCs w:val="24"/>
        </w:rPr>
        <w:t>0,000 less the aggregate amount of securities sold in the prior 12 months</w:t>
      </w:r>
      <w:r w:rsidR="00EB4015">
        <w:rPr>
          <w:rFonts w:ascii="Times New Roman" w:hAnsi="Times New Roman" w:cs="Times New Roman"/>
          <w:sz w:val="24"/>
          <w:szCs w:val="24"/>
        </w:rPr>
        <w:t xml:space="preserve"> (the Crowdfunding monetary thresholds are adjusted annually for inflation)</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472D61"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Issuer and Investor Requirements:  </w:t>
      </w:r>
      <w:r>
        <w:rPr>
          <w:rFonts w:ascii="Times New Roman" w:hAnsi="Times New Roman" w:cs="Times New Roman"/>
          <w:sz w:val="24"/>
          <w:szCs w:val="24"/>
        </w:rPr>
        <w:t>Issuer must be a U.S. company, not an Exchange Act reporting company or an investment company required to register by the ICA.  Issuer must register as a broker or a “funding portal” pursuant to the Exchange Act</w:t>
      </w:r>
      <w:r w:rsidRPr="000225CC">
        <w:rPr>
          <w:rFonts w:ascii="Times New Roman" w:hAnsi="Times New Roman" w:cs="Times New Roman"/>
          <w:sz w:val="24"/>
          <w:szCs w:val="24"/>
        </w:rPr>
        <w:t>.</w:t>
      </w:r>
      <w:r>
        <w:rPr>
          <w:rFonts w:ascii="Times New Roman" w:hAnsi="Times New Roman" w:cs="Times New Roman"/>
          <w:sz w:val="24"/>
          <w:szCs w:val="24"/>
        </w:rPr>
        <w:t xml:space="preserve">  </w:t>
      </w:r>
      <w:r w:rsidRPr="00472D61">
        <w:rPr>
          <w:rFonts w:ascii="Times New Roman" w:hAnsi="Times New Roman" w:cs="Times New Roman"/>
          <w:sz w:val="24"/>
          <w:szCs w:val="24"/>
        </w:rPr>
        <w:t xml:space="preserve">In </w:t>
      </w:r>
      <w:r>
        <w:rPr>
          <w:rFonts w:ascii="Times New Roman" w:hAnsi="Times New Roman" w:cs="Times New Roman"/>
          <w:sz w:val="24"/>
          <w:szCs w:val="24"/>
        </w:rPr>
        <w:t xml:space="preserve">a </w:t>
      </w:r>
      <w:r w:rsidRPr="00472D61">
        <w:rPr>
          <w:rFonts w:ascii="Times New Roman" w:hAnsi="Times New Roman" w:cs="Times New Roman"/>
          <w:sz w:val="24"/>
          <w:szCs w:val="24"/>
        </w:rPr>
        <w:t>12</w:t>
      </w:r>
      <w:r>
        <w:rPr>
          <w:rFonts w:ascii="Times New Roman" w:hAnsi="Times New Roman" w:cs="Times New Roman"/>
          <w:sz w:val="24"/>
          <w:szCs w:val="24"/>
        </w:rPr>
        <w:t xml:space="preserve"> </w:t>
      </w:r>
      <w:r w:rsidRPr="00472D61">
        <w:rPr>
          <w:rFonts w:ascii="Times New Roman" w:hAnsi="Times New Roman" w:cs="Times New Roman"/>
          <w:sz w:val="24"/>
          <w:szCs w:val="24"/>
        </w:rPr>
        <w:t xml:space="preserve">month period, </w:t>
      </w:r>
      <w:r w:rsidRPr="00472D61">
        <w:rPr>
          <w:rFonts w:ascii="Times New Roman" w:hAnsi="Times New Roman" w:cs="Times New Roman"/>
          <w:sz w:val="24"/>
          <w:szCs w:val="24"/>
        </w:rPr>
        <w:lastRenderedPageBreak/>
        <w:t xml:space="preserve">individuals may invest up to </w:t>
      </w:r>
      <w:r>
        <w:rPr>
          <w:rFonts w:ascii="Times New Roman" w:hAnsi="Times New Roman" w:cs="Times New Roman"/>
          <w:sz w:val="24"/>
          <w:szCs w:val="24"/>
        </w:rPr>
        <w:t xml:space="preserve">the </w:t>
      </w:r>
      <w:r w:rsidRPr="00472D61">
        <w:rPr>
          <w:rFonts w:ascii="Times New Roman" w:hAnsi="Times New Roman" w:cs="Times New Roman"/>
          <w:sz w:val="24"/>
          <w:szCs w:val="24"/>
        </w:rPr>
        <w:t>greater of $2,</w:t>
      </w:r>
      <w:r w:rsidR="00EB4015">
        <w:rPr>
          <w:rFonts w:ascii="Times New Roman" w:hAnsi="Times New Roman" w:cs="Times New Roman"/>
          <w:sz w:val="24"/>
          <w:szCs w:val="24"/>
        </w:rPr>
        <w:t>2</w:t>
      </w:r>
      <w:r w:rsidRPr="00472D61">
        <w:rPr>
          <w:rFonts w:ascii="Times New Roman" w:hAnsi="Times New Roman" w:cs="Times New Roman"/>
          <w:sz w:val="24"/>
          <w:szCs w:val="24"/>
        </w:rPr>
        <w:t xml:space="preserve">00 or 5% of </w:t>
      </w:r>
      <w:r>
        <w:rPr>
          <w:rFonts w:ascii="Times New Roman" w:hAnsi="Times New Roman" w:cs="Times New Roman"/>
          <w:sz w:val="24"/>
          <w:szCs w:val="24"/>
        </w:rPr>
        <w:t xml:space="preserve">their </w:t>
      </w:r>
      <w:r w:rsidRPr="00472D61">
        <w:rPr>
          <w:rFonts w:ascii="Times New Roman" w:hAnsi="Times New Roman" w:cs="Times New Roman"/>
          <w:sz w:val="24"/>
          <w:szCs w:val="24"/>
        </w:rPr>
        <w:t xml:space="preserve">annual income or net worth, if </w:t>
      </w:r>
      <w:r>
        <w:rPr>
          <w:rFonts w:ascii="Times New Roman" w:hAnsi="Times New Roman" w:cs="Times New Roman"/>
          <w:sz w:val="24"/>
          <w:szCs w:val="24"/>
        </w:rPr>
        <w:t>annual income or net worth, as the case may be, is</w:t>
      </w:r>
      <w:r w:rsidRPr="00472D61">
        <w:rPr>
          <w:rFonts w:ascii="Times New Roman" w:hAnsi="Times New Roman" w:cs="Times New Roman"/>
          <w:sz w:val="24"/>
          <w:szCs w:val="24"/>
        </w:rPr>
        <w:t xml:space="preserve"> under $10</w:t>
      </w:r>
      <w:r w:rsidR="00EB4015">
        <w:rPr>
          <w:rFonts w:ascii="Times New Roman" w:hAnsi="Times New Roman" w:cs="Times New Roman"/>
          <w:sz w:val="24"/>
          <w:szCs w:val="24"/>
        </w:rPr>
        <w:t>7</w:t>
      </w:r>
      <w:r w:rsidRPr="00472D61">
        <w:rPr>
          <w:rFonts w:ascii="Times New Roman" w:hAnsi="Times New Roman" w:cs="Times New Roman"/>
          <w:sz w:val="24"/>
          <w:szCs w:val="24"/>
        </w:rPr>
        <w:t>,000; or greater of 10% of annual income or net worth</w:t>
      </w:r>
      <w:r>
        <w:rPr>
          <w:rFonts w:ascii="Times New Roman" w:hAnsi="Times New Roman" w:cs="Times New Roman"/>
          <w:sz w:val="24"/>
          <w:szCs w:val="24"/>
        </w:rPr>
        <w:t xml:space="preserve"> (not to exceed $10</w:t>
      </w:r>
      <w:r w:rsidR="00EB4015">
        <w:rPr>
          <w:rFonts w:ascii="Times New Roman" w:hAnsi="Times New Roman" w:cs="Times New Roman"/>
          <w:sz w:val="24"/>
          <w:szCs w:val="24"/>
        </w:rPr>
        <w:t>7</w:t>
      </w:r>
      <w:r>
        <w:rPr>
          <w:rFonts w:ascii="Times New Roman" w:hAnsi="Times New Roman" w:cs="Times New Roman"/>
          <w:sz w:val="24"/>
          <w:szCs w:val="24"/>
        </w:rPr>
        <w:t>,000)</w:t>
      </w:r>
      <w:r w:rsidRPr="00472D61">
        <w:rPr>
          <w:rFonts w:ascii="Times New Roman" w:hAnsi="Times New Roman" w:cs="Times New Roman"/>
          <w:sz w:val="24"/>
          <w:szCs w:val="24"/>
        </w:rPr>
        <w:t xml:space="preserve">, if </w:t>
      </w:r>
      <w:r>
        <w:rPr>
          <w:rFonts w:ascii="Times New Roman" w:hAnsi="Times New Roman" w:cs="Times New Roman"/>
          <w:sz w:val="24"/>
          <w:szCs w:val="24"/>
        </w:rPr>
        <w:t>annual income or net worth, as the case may be,</w:t>
      </w:r>
      <w:r w:rsidRPr="00472D61">
        <w:rPr>
          <w:rFonts w:ascii="Times New Roman" w:hAnsi="Times New Roman" w:cs="Times New Roman"/>
          <w:sz w:val="24"/>
          <w:szCs w:val="24"/>
        </w:rPr>
        <w:t xml:space="preserve"> is $10</w:t>
      </w:r>
      <w:r w:rsidR="00EB4015">
        <w:rPr>
          <w:rFonts w:ascii="Times New Roman" w:hAnsi="Times New Roman" w:cs="Times New Roman"/>
          <w:sz w:val="24"/>
          <w:szCs w:val="24"/>
        </w:rPr>
        <w:t>7</w:t>
      </w:r>
      <w:r w:rsidRPr="00472D61">
        <w:rPr>
          <w:rFonts w:ascii="Times New Roman" w:hAnsi="Times New Roman" w:cs="Times New Roman"/>
          <w:sz w:val="24"/>
          <w:szCs w:val="24"/>
        </w:rPr>
        <w:t>,000 or more.</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w:t>
      </w:r>
      <w:r>
        <w:rPr>
          <w:rFonts w:ascii="Times New Roman" w:hAnsi="Times New Roman" w:cs="Times New Roman"/>
          <w:sz w:val="24"/>
          <w:szCs w:val="24"/>
        </w:rPr>
        <w:t>Issuance must be conducted through a broker or funding portal compliant with Securities Act section 4A(a) and in compliance with “crowdfunding” requirements of section 4A(b)</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SEC and State Filing Requirements</w:t>
      </w:r>
      <w:r>
        <w:rPr>
          <w:rFonts w:ascii="Times New Roman" w:hAnsi="Times New Roman" w:cs="Times New Roman"/>
          <w:sz w:val="24"/>
          <w:szCs w:val="24"/>
        </w:rPr>
        <w:t>:  SEC:  Issuer must file offering statement on Form C and comply with ongoing reporting requirements.  State:  Securities are e</w:t>
      </w:r>
      <w:r w:rsidRPr="000225CC">
        <w:rPr>
          <w:rFonts w:ascii="Times New Roman" w:hAnsi="Times New Roman" w:cs="Times New Roman"/>
          <w:sz w:val="24"/>
          <w:szCs w:val="24"/>
        </w:rPr>
        <w:t>xempt from state filing as “</w:t>
      </w:r>
      <w:r>
        <w:rPr>
          <w:rFonts w:ascii="Times New Roman" w:hAnsi="Times New Roman" w:cs="Times New Roman"/>
          <w:sz w:val="24"/>
          <w:szCs w:val="24"/>
        </w:rPr>
        <w:t>C</w:t>
      </w:r>
      <w:r w:rsidRPr="000225CC">
        <w:rPr>
          <w:rFonts w:ascii="Times New Roman" w:hAnsi="Times New Roman" w:cs="Times New Roman"/>
          <w:sz w:val="24"/>
          <w:szCs w:val="24"/>
        </w:rPr>
        <w:t xml:space="preserve">overed </w:t>
      </w:r>
      <w:r>
        <w:rPr>
          <w:rFonts w:ascii="Times New Roman" w:hAnsi="Times New Roman" w:cs="Times New Roman"/>
          <w:sz w:val="24"/>
          <w:szCs w:val="24"/>
        </w:rPr>
        <w:t>S</w:t>
      </w:r>
      <w:r w:rsidRPr="000225CC">
        <w:rPr>
          <w:rFonts w:ascii="Times New Roman" w:hAnsi="Times New Roman" w:cs="Times New Roman"/>
          <w:sz w:val="24"/>
          <w:szCs w:val="24"/>
        </w:rPr>
        <w:t>ecurities” under Securities Act section 18.</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Limitations on Resales:</w:t>
      </w:r>
      <w:r>
        <w:rPr>
          <w:rFonts w:ascii="Times New Roman" w:hAnsi="Times New Roman" w:cs="Times New Roman"/>
          <w:sz w:val="24"/>
          <w:szCs w:val="24"/>
        </w:rPr>
        <w:t xml:space="preserve">  Securities are restricted from resale for 1 year unless registered or resold pursuant to a resale exemption.</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Information Requirements:</w:t>
      </w:r>
      <w:r>
        <w:rPr>
          <w:rFonts w:ascii="Times New Roman" w:hAnsi="Times New Roman" w:cs="Times New Roman"/>
          <w:sz w:val="24"/>
          <w:szCs w:val="24"/>
        </w:rPr>
        <w:t xml:space="preserve">  </w:t>
      </w:r>
      <w:r w:rsidRPr="000225CC">
        <w:rPr>
          <w:rFonts w:ascii="Times New Roman" w:hAnsi="Times New Roman" w:cs="Times New Roman"/>
          <w:sz w:val="24"/>
          <w:szCs w:val="24"/>
        </w:rPr>
        <w:t>Anti-fraud provisions of securities laws and regulations apply</w:t>
      </w:r>
      <w:r>
        <w:rPr>
          <w:rFonts w:ascii="Times New Roman" w:hAnsi="Times New Roman" w:cs="Times New Roman"/>
          <w:sz w:val="24"/>
          <w:szCs w:val="24"/>
        </w:rPr>
        <w:t>.</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Advantages:  </w:t>
      </w:r>
      <w:r>
        <w:rPr>
          <w:rFonts w:ascii="Times New Roman" w:hAnsi="Times New Roman" w:cs="Times New Roman"/>
          <w:sz w:val="24"/>
          <w:szCs w:val="24"/>
        </w:rPr>
        <w:t>Relatively low barriers to entry.  The real attraction is being able to seek investment over an Internet portal with general solicitation and advertising, as long as it directs investors to the portal.</w:t>
      </w:r>
    </w:p>
    <w:p w:rsidR="00096552" w:rsidRPr="000225CC"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Disadvantages:  </w:t>
      </w:r>
      <w:r>
        <w:rPr>
          <w:rFonts w:ascii="Times New Roman" w:hAnsi="Times New Roman" w:cs="Times New Roman"/>
          <w:sz w:val="24"/>
          <w:szCs w:val="24"/>
        </w:rPr>
        <w:t>Low aggregate offering price limitation; regulatory burden, including reporting requirements, may not be justified for $1,0</w:t>
      </w:r>
      <w:r w:rsidR="00EB4015">
        <w:rPr>
          <w:rFonts w:ascii="Times New Roman" w:hAnsi="Times New Roman" w:cs="Times New Roman"/>
          <w:sz w:val="24"/>
          <w:szCs w:val="24"/>
        </w:rPr>
        <w:t>7</w:t>
      </w:r>
      <w:r>
        <w:rPr>
          <w:rFonts w:ascii="Times New Roman" w:hAnsi="Times New Roman" w:cs="Times New Roman"/>
          <w:sz w:val="24"/>
          <w:szCs w:val="24"/>
        </w:rPr>
        <w:t>0,000 aggregate sale limit, especially given ongoing reporting, unless no other exemption is available (compare Regulation D Rule 504)</w:t>
      </w:r>
      <w:r w:rsidRPr="000225CC">
        <w:rPr>
          <w:rFonts w:ascii="Times New Roman" w:hAnsi="Times New Roman" w:cs="Times New Roman"/>
          <w:sz w:val="24"/>
          <w:szCs w:val="24"/>
        </w:rPr>
        <w:t>.</w:t>
      </w:r>
    </w:p>
    <w:p w:rsidR="00096552" w:rsidRPr="00EE6C86"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0"/>
          <w:numId w:val="1"/>
        </w:numPr>
        <w:jc w:val="both"/>
        <w:rPr>
          <w:rFonts w:ascii="Times New Roman" w:hAnsi="Times New Roman" w:cs="Times New Roman"/>
          <w:sz w:val="24"/>
          <w:szCs w:val="24"/>
        </w:rPr>
      </w:pPr>
      <w:r w:rsidRPr="000225CC">
        <w:rPr>
          <w:rFonts w:ascii="Times New Roman" w:hAnsi="Times New Roman" w:cs="Times New Roman"/>
          <w:sz w:val="24"/>
          <w:szCs w:val="24"/>
        </w:rPr>
        <w:t>Se</w:t>
      </w:r>
      <w:r>
        <w:rPr>
          <w:rFonts w:ascii="Times New Roman" w:hAnsi="Times New Roman" w:cs="Times New Roman"/>
          <w:sz w:val="24"/>
          <w:szCs w:val="24"/>
        </w:rPr>
        <w:t>curities Act Se</w:t>
      </w:r>
      <w:r w:rsidRPr="000225CC">
        <w:rPr>
          <w:rFonts w:ascii="Times New Roman" w:hAnsi="Times New Roman" w:cs="Times New Roman"/>
          <w:sz w:val="24"/>
          <w:szCs w:val="24"/>
        </w:rPr>
        <w:t xml:space="preserve">ction </w:t>
      </w:r>
      <w:r>
        <w:rPr>
          <w:rFonts w:ascii="Times New Roman" w:hAnsi="Times New Roman" w:cs="Times New Roman"/>
          <w:sz w:val="24"/>
          <w:szCs w:val="24"/>
        </w:rPr>
        <w:t>3(a)</w:t>
      </w:r>
      <w:r w:rsidRPr="000225CC">
        <w:rPr>
          <w:rFonts w:ascii="Times New Roman" w:hAnsi="Times New Roman" w:cs="Times New Roman"/>
          <w:sz w:val="24"/>
          <w:szCs w:val="24"/>
        </w:rPr>
        <w:t>(</w:t>
      </w:r>
      <w:r>
        <w:rPr>
          <w:rFonts w:ascii="Times New Roman" w:hAnsi="Times New Roman" w:cs="Times New Roman"/>
          <w:sz w:val="24"/>
          <w:szCs w:val="24"/>
        </w:rPr>
        <w:t>11</w:t>
      </w:r>
      <w:r w:rsidRPr="000225CC">
        <w:rPr>
          <w:rFonts w:ascii="Times New Roman" w:hAnsi="Times New Roman" w:cs="Times New Roman"/>
          <w:sz w:val="24"/>
          <w:szCs w:val="24"/>
        </w:rPr>
        <w:t>)</w:t>
      </w:r>
      <w:r>
        <w:rPr>
          <w:rFonts w:ascii="Times New Roman" w:hAnsi="Times New Roman" w:cs="Times New Roman"/>
          <w:sz w:val="24"/>
          <w:szCs w:val="24"/>
        </w:rPr>
        <w:t xml:space="preserve"> and Rule</w:t>
      </w:r>
      <w:r w:rsidR="00902CF9">
        <w:rPr>
          <w:rFonts w:ascii="Times New Roman" w:hAnsi="Times New Roman" w:cs="Times New Roman"/>
          <w:sz w:val="24"/>
          <w:szCs w:val="24"/>
        </w:rPr>
        <w:t>s</w:t>
      </w:r>
      <w:r>
        <w:rPr>
          <w:rFonts w:ascii="Times New Roman" w:hAnsi="Times New Roman" w:cs="Times New Roman"/>
          <w:sz w:val="24"/>
          <w:szCs w:val="24"/>
        </w:rPr>
        <w:t xml:space="preserve"> 147</w:t>
      </w:r>
      <w:r w:rsidR="00902CF9">
        <w:rPr>
          <w:rFonts w:ascii="Times New Roman" w:hAnsi="Times New Roman" w:cs="Times New Roman"/>
          <w:sz w:val="24"/>
          <w:szCs w:val="24"/>
        </w:rPr>
        <w:t xml:space="preserve"> and 147A</w:t>
      </w:r>
      <w:r>
        <w:rPr>
          <w:rFonts w:ascii="Times New Roman" w:hAnsi="Times New Roman" w:cs="Times New Roman"/>
          <w:sz w:val="24"/>
          <w:szCs w:val="24"/>
        </w:rPr>
        <w:t>:  the Intrastate Exemption</w:t>
      </w:r>
      <w:r w:rsidR="00902CF9">
        <w:rPr>
          <w:rFonts w:ascii="Times New Roman" w:hAnsi="Times New Roman" w:cs="Times New Roman"/>
          <w:sz w:val="24"/>
          <w:szCs w:val="24"/>
        </w:rPr>
        <w:t>s</w:t>
      </w:r>
      <w:r>
        <w:rPr>
          <w:rFonts w:ascii="Times New Roman" w:hAnsi="Times New Roman" w:cs="Times New Roman"/>
          <w:sz w:val="24"/>
          <w:szCs w:val="24"/>
        </w:rPr>
        <w:t>.</w:t>
      </w:r>
    </w:p>
    <w:p w:rsidR="00096552"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Aggregate Offering Price Limitation:  </w:t>
      </w:r>
      <w:r>
        <w:rPr>
          <w:rFonts w:ascii="Times New Roman" w:hAnsi="Times New Roman" w:cs="Times New Roman"/>
          <w:sz w:val="24"/>
          <w:szCs w:val="24"/>
        </w:rPr>
        <w:t>None</w:t>
      </w:r>
      <w:r w:rsidRPr="000225CC">
        <w:rPr>
          <w:rFonts w:ascii="Times New Roman" w:hAnsi="Times New Roman" w:cs="Times New Roman"/>
          <w:sz w:val="24"/>
          <w:szCs w:val="24"/>
        </w:rPr>
        <w:t>.</w:t>
      </w:r>
    </w:p>
    <w:p w:rsidR="00096552" w:rsidRPr="00C07117" w:rsidRDefault="00096552" w:rsidP="00096552">
      <w:pPr>
        <w:pStyle w:val="ListParagraph"/>
        <w:ind w:left="1440"/>
        <w:jc w:val="both"/>
        <w:rPr>
          <w:rFonts w:ascii="Times New Roman" w:hAnsi="Times New Roman" w:cs="Times New Roman"/>
          <w:sz w:val="24"/>
          <w:szCs w:val="24"/>
        </w:rPr>
      </w:pPr>
    </w:p>
    <w:p w:rsidR="00096552" w:rsidRPr="00472D61"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Issuer and Investor Requirements:  </w:t>
      </w:r>
      <w:r w:rsidR="004C043A">
        <w:rPr>
          <w:rFonts w:ascii="Times New Roman" w:hAnsi="Times New Roman" w:cs="Times New Roman"/>
          <w:sz w:val="24"/>
          <w:szCs w:val="24"/>
        </w:rPr>
        <w:t>Under Rule 147, as amended in 2017, t</w:t>
      </w:r>
      <w:r>
        <w:rPr>
          <w:rFonts w:ascii="Times New Roman" w:hAnsi="Times New Roman" w:cs="Times New Roman"/>
          <w:sz w:val="24"/>
          <w:szCs w:val="24"/>
        </w:rPr>
        <w:t xml:space="preserve">he issuer and any investors must be residents of the same state or territory.  In the case of issuer, that means that it is incorporated in, has its principal office in, and is doing the predominant amount of its business in, that state or territory (Rule 147 provides </w:t>
      </w:r>
      <w:r w:rsidR="008A4B5F">
        <w:rPr>
          <w:rFonts w:ascii="Times New Roman" w:hAnsi="Times New Roman" w:cs="Times New Roman"/>
          <w:sz w:val="24"/>
          <w:szCs w:val="24"/>
        </w:rPr>
        <w:t xml:space="preserve">alternative </w:t>
      </w:r>
      <w:r>
        <w:rPr>
          <w:rFonts w:ascii="Times New Roman" w:hAnsi="Times New Roman" w:cs="Times New Roman"/>
          <w:sz w:val="24"/>
          <w:szCs w:val="24"/>
        </w:rPr>
        <w:t xml:space="preserve">metrics for judging the </w:t>
      </w:r>
      <w:r w:rsidR="00C377B4">
        <w:rPr>
          <w:rFonts w:ascii="Times New Roman" w:hAnsi="Times New Roman" w:cs="Times New Roman"/>
          <w:sz w:val="24"/>
          <w:szCs w:val="24"/>
        </w:rPr>
        <w:t>predominant amount</w:t>
      </w:r>
      <w:r>
        <w:rPr>
          <w:rFonts w:ascii="Times New Roman" w:hAnsi="Times New Roman" w:cs="Times New Roman"/>
          <w:sz w:val="24"/>
          <w:szCs w:val="24"/>
        </w:rPr>
        <w:t xml:space="preserve"> of issuer’s business).  </w:t>
      </w:r>
      <w:r w:rsidR="007A5959">
        <w:rPr>
          <w:rFonts w:ascii="Times New Roman" w:hAnsi="Times New Roman" w:cs="Times New Roman"/>
          <w:sz w:val="24"/>
          <w:szCs w:val="24"/>
        </w:rPr>
        <w:t xml:space="preserve">Under Rule 147A, Issuer </w:t>
      </w:r>
      <w:r w:rsidR="00D03FAE">
        <w:rPr>
          <w:rFonts w:ascii="Times New Roman" w:hAnsi="Times New Roman" w:cs="Times New Roman"/>
          <w:sz w:val="24"/>
          <w:szCs w:val="24"/>
        </w:rPr>
        <w:t xml:space="preserve">need not be organized in-state or managed from within the state, and </w:t>
      </w:r>
      <w:r w:rsidR="007A5959">
        <w:rPr>
          <w:rFonts w:ascii="Times New Roman" w:hAnsi="Times New Roman" w:cs="Times New Roman"/>
          <w:sz w:val="24"/>
          <w:szCs w:val="24"/>
        </w:rPr>
        <w:t xml:space="preserve">may not be a company registered under the ICA.  </w:t>
      </w:r>
      <w:r w:rsidR="00BD23DF">
        <w:rPr>
          <w:rFonts w:ascii="Times New Roman" w:hAnsi="Times New Roman" w:cs="Times New Roman"/>
          <w:sz w:val="24"/>
          <w:szCs w:val="24"/>
        </w:rPr>
        <w:t xml:space="preserve">Under both </w:t>
      </w:r>
      <w:r w:rsidR="00BD23DF">
        <w:rPr>
          <w:rFonts w:ascii="Times New Roman" w:hAnsi="Times New Roman" w:cs="Times New Roman"/>
          <w:sz w:val="24"/>
          <w:szCs w:val="24"/>
        </w:rPr>
        <w:lastRenderedPageBreak/>
        <w:t xml:space="preserve">Rules 147 and 147A, </w:t>
      </w:r>
      <w:r>
        <w:rPr>
          <w:rFonts w:ascii="Times New Roman" w:hAnsi="Times New Roman" w:cs="Times New Roman"/>
          <w:sz w:val="24"/>
          <w:szCs w:val="24"/>
        </w:rPr>
        <w:t xml:space="preserve">Investors must </w:t>
      </w:r>
      <w:r w:rsidR="008A4B5F">
        <w:rPr>
          <w:rFonts w:ascii="Times New Roman" w:hAnsi="Times New Roman" w:cs="Times New Roman"/>
          <w:sz w:val="24"/>
          <w:szCs w:val="24"/>
        </w:rPr>
        <w:t xml:space="preserve">certify their </w:t>
      </w:r>
      <w:r>
        <w:rPr>
          <w:rFonts w:ascii="Times New Roman" w:hAnsi="Times New Roman" w:cs="Times New Roman"/>
          <w:sz w:val="24"/>
          <w:szCs w:val="24"/>
        </w:rPr>
        <w:t xml:space="preserve"> resident </w:t>
      </w:r>
      <w:r w:rsidR="008A4B5F">
        <w:rPr>
          <w:rFonts w:ascii="Times New Roman" w:hAnsi="Times New Roman" w:cs="Times New Roman"/>
          <w:sz w:val="24"/>
          <w:szCs w:val="24"/>
        </w:rPr>
        <w:t>status</w:t>
      </w:r>
      <w:r w:rsidR="008E5CD1">
        <w:rPr>
          <w:rFonts w:ascii="Times New Roman" w:hAnsi="Times New Roman" w:cs="Times New Roman"/>
          <w:sz w:val="24"/>
          <w:szCs w:val="24"/>
        </w:rPr>
        <w:t xml:space="preserve"> and Issuer must have a reasonable belief in it.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w:t>
      </w:r>
      <w:r>
        <w:rPr>
          <w:rFonts w:ascii="Times New Roman" w:hAnsi="Times New Roman" w:cs="Times New Roman"/>
          <w:sz w:val="24"/>
          <w:szCs w:val="24"/>
        </w:rPr>
        <w:t>Unlike Securities Act section 3(b), section 3(a) does provide statutory exemptions from the registration requirement, like those of section 4(a)</w:t>
      </w:r>
      <w:r w:rsidRPr="000225CC">
        <w:rPr>
          <w:rFonts w:ascii="Times New Roman" w:hAnsi="Times New Roman" w:cs="Times New Roman"/>
          <w:sz w:val="24"/>
          <w:szCs w:val="24"/>
        </w:rPr>
        <w:t>.</w:t>
      </w:r>
      <w:r>
        <w:rPr>
          <w:rFonts w:ascii="Times New Roman" w:hAnsi="Times New Roman" w:cs="Times New Roman"/>
          <w:sz w:val="24"/>
          <w:szCs w:val="24"/>
        </w:rPr>
        <w:t xml:space="preserve">  In the case of section 3(b)(11) and Rule 147, which provides the section 3(b)(11) safe harbor, the exemption is for intrastate offerings, since the Securities Act’s validity and the SEC’s authority is founded on the U.S. Constitution’s interstate commerce clause.</w:t>
      </w:r>
      <w:r w:rsidR="00BD23DF">
        <w:rPr>
          <w:rFonts w:ascii="Times New Roman" w:hAnsi="Times New Roman" w:cs="Times New Roman"/>
          <w:sz w:val="24"/>
          <w:szCs w:val="24"/>
        </w:rPr>
        <w:t xml:space="preserve">  Under Rule 147A, general solicitation is permitted</w:t>
      </w:r>
      <w:r w:rsidR="006241F9">
        <w:rPr>
          <w:rFonts w:ascii="Times New Roman" w:hAnsi="Times New Roman" w:cs="Times New Roman"/>
          <w:sz w:val="24"/>
          <w:szCs w:val="24"/>
        </w:rPr>
        <w:t>, but Rule 147A is not a section 3(b)(11) safe harbor</w:t>
      </w:r>
      <w:r w:rsidR="00BD23DF">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SEC and State Filing Requirements</w:t>
      </w:r>
      <w:r>
        <w:rPr>
          <w:rFonts w:ascii="Times New Roman" w:hAnsi="Times New Roman" w:cs="Times New Roman"/>
          <w:sz w:val="24"/>
          <w:szCs w:val="24"/>
        </w:rPr>
        <w:t>:  SEC:  None.  State:  Must comply with state law</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Limitations on Resales:</w:t>
      </w:r>
      <w:r>
        <w:rPr>
          <w:rFonts w:ascii="Times New Roman" w:hAnsi="Times New Roman" w:cs="Times New Roman"/>
          <w:sz w:val="24"/>
          <w:szCs w:val="24"/>
        </w:rPr>
        <w:t xml:space="preserve">  Under </w:t>
      </w:r>
      <w:r w:rsidR="00D03FAE">
        <w:rPr>
          <w:rFonts w:ascii="Times New Roman" w:hAnsi="Times New Roman" w:cs="Times New Roman"/>
          <w:sz w:val="24"/>
          <w:szCs w:val="24"/>
        </w:rPr>
        <w:t xml:space="preserve">both </w:t>
      </w:r>
      <w:r>
        <w:rPr>
          <w:rFonts w:ascii="Times New Roman" w:hAnsi="Times New Roman" w:cs="Times New Roman"/>
          <w:sz w:val="24"/>
          <w:szCs w:val="24"/>
        </w:rPr>
        <w:t>Rule</w:t>
      </w:r>
      <w:r w:rsidR="008E5CD1">
        <w:rPr>
          <w:rFonts w:ascii="Times New Roman" w:hAnsi="Times New Roman" w:cs="Times New Roman"/>
          <w:sz w:val="24"/>
          <w:szCs w:val="24"/>
        </w:rPr>
        <w:t>s</w:t>
      </w:r>
      <w:r>
        <w:rPr>
          <w:rFonts w:ascii="Times New Roman" w:hAnsi="Times New Roman" w:cs="Times New Roman"/>
          <w:sz w:val="24"/>
          <w:szCs w:val="24"/>
        </w:rPr>
        <w:t xml:space="preserve"> 147</w:t>
      </w:r>
      <w:r w:rsidR="008E5CD1">
        <w:rPr>
          <w:rFonts w:ascii="Times New Roman" w:hAnsi="Times New Roman" w:cs="Times New Roman"/>
          <w:sz w:val="24"/>
          <w:szCs w:val="24"/>
        </w:rPr>
        <w:t xml:space="preserve"> and 147A</w:t>
      </w:r>
      <w:r>
        <w:rPr>
          <w:rFonts w:ascii="Times New Roman" w:hAnsi="Times New Roman" w:cs="Times New Roman"/>
          <w:sz w:val="24"/>
          <w:szCs w:val="24"/>
        </w:rPr>
        <w:t xml:space="preserve">, securities are restricted from resale to non-residents of the state or territory for </w:t>
      </w:r>
      <w:r w:rsidR="008A4B5F">
        <w:rPr>
          <w:rFonts w:ascii="Times New Roman" w:hAnsi="Times New Roman" w:cs="Times New Roman"/>
          <w:sz w:val="24"/>
          <w:szCs w:val="24"/>
        </w:rPr>
        <w:t>six</w:t>
      </w:r>
      <w:r>
        <w:rPr>
          <w:rFonts w:ascii="Times New Roman" w:hAnsi="Times New Roman" w:cs="Times New Roman"/>
          <w:sz w:val="24"/>
          <w:szCs w:val="24"/>
        </w:rPr>
        <w:t xml:space="preserve"> months.</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Information Requirements:</w:t>
      </w:r>
      <w:r>
        <w:rPr>
          <w:rFonts w:ascii="Times New Roman" w:hAnsi="Times New Roman" w:cs="Times New Roman"/>
          <w:sz w:val="24"/>
          <w:szCs w:val="24"/>
        </w:rPr>
        <w:t xml:space="preserve">  </w:t>
      </w:r>
      <w:r w:rsidR="008A4B5F">
        <w:rPr>
          <w:rFonts w:ascii="Times New Roman" w:hAnsi="Times New Roman" w:cs="Times New Roman"/>
          <w:sz w:val="24"/>
          <w:szCs w:val="24"/>
        </w:rPr>
        <w:t xml:space="preserve">Securities must contain a legend against interstate sales.  </w:t>
      </w:r>
      <w:r w:rsidRPr="000225CC">
        <w:rPr>
          <w:rFonts w:ascii="Times New Roman" w:hAnsi="Times New Roman" w:cs="Times New Roman"/>
          <w:sz w:val="24"/>
          <w:szCs w:val="24"/>
        </w:rPr>
        <w:t>Anti-fraud provisions of securities laws and regulations apply</w:t>
      </w:r>
      <w:r>
        <w:rPr>
          <w:rFonts w:ascii="Times New Roman" w:hAnsi="Times New Roman" w:cs="Times New Roman"/>
          <w:sz w:val="24"/>
          <w:szCs w:val="24"/>
        </w:rPr>
        <w:t>; state law applies.</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Advantages:  </w:t>
      </w:r>
      <w:r>
        <w:rPr>
          <w:rFonts w:ascii="Times New Roman" w:hAnsi="Times New Roman" w:cs="Times New Roman"/>
          <w:sz w:val="24"/>
          <w:szCs w:val="24"/>
        </w:rPr>
        <w:t>Relatively low regulatory burden, low barriers to entry.  Rule 147 is a section 3(a)(11) “safe harbor,” meaning that if its rules are complied with, compliance with section 3(a)(11) is presumed. As with Rule 506 and section 4(a)(2), section 3(a)(11) can provide a fallback in case of inadvertent or technical noncompliance with Rule 147.</w:t>
      </w:r>
      <w:r w:rsidR="005A770A">
        <w:rPr>
          <w:rFonts w:ascii="Times New Roman" w:hAnsi="Times New Roman" w:cs="Times New Roman"/>
          <w:sz w:val="24"/>
          <w:szCs w:val="24"/>
        </w:rPr>
        <w:t xml:space="preserve">  Rule 147A is not a safe harbor.</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Disadvantages:  </w:t>
      </w:r>
      <w:r>
        <w:rPr>
          <w:rFonts w:ascii="Times New Roman" w:hAnsi="Times New Roman" w:cs="Times New Roman"/>
          <w:sz w:val="24"/>
          <w:szCs w:val="24"/>
        </w:rPr>
        <w:t>Limited to intrastate investor base</w:t>
      </w:r>
      <w:r w:rsidR="00D03FAE">
        <w:rPr>
          <w:rFonts w:ascii="Times New Roman" w:hAnsi="Times New Roman" w:cs="Times New Roman"/>
          <w:sz w:val="24"/>
          <w:szCs w:val="24"/>
        </w:rPr>
        <w:t>, although Rule 147A substantially liberalizes Issuer-Investor nexus of Rule 147</w:t>
      </w:r>
      <w:r>
        <w:rPr>
          <w:rFonts w:ascii="Times New Roman" w:hAnsi="Times New Roman" w:cs="Times New Roman"/>
          <w:sz w:val="24"/>
          <w:szCs w:val="24"/>
        </w:rPr>
        <w:t>.  Issuer must take specified precautions against interstate offers or sales. The SEC has warned that a truly interstate offering cannot be disguised as a series of intrastate offerings and receive the benefit of the exemption.</w:t>
      </w:r>
    </w:p>
    <w:p w:rsidR="00096552"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Regulation S:  Offshore Offerings Not Directed to U.S. Market.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Aggregate Offering Price Limitation:  </w:t>
      </w:r>
      <w:r>
        <w:rPr>
          <w:rFonts w:ascii="Times New Roman" w:hAnsi="Times New Roman" w:cs="Times New Roman"/>
          <w:sz w:val="24"/>
          <w:szCs w:val="24"/>
        </w:rPr>
        <w:t>None</w:t>
      </w:r>
      <w:r w:rsidRPr="000225CC">
        <w:rPr>
          <w:rFonts w:ascii="Times New Roman" w:hAnsi="Times New Roman" w:cs="Times New Roman"/>
          <w:sz w:val="24"/>
          <w:szCs w:val="24"/>
        </w:rPr>
        <w:t>.</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Issuer and Investor Requirements:  </w:t>
      </w:r>
      <w:r>
        <w:rPr>
          <w:rFonts w:ascii="Times New Roman" w:hAnsi="Times New Roman" w:cs="Times New Roman"/>
          <w:sz w:val="24"/>
          <w:szCs w:val="24"/>
        </w:rPr>
        <w:t xml:space="preserve">Regulation S Rule 903 provides that securities offerings conducted pursuant to its requirements are not subject to the Securities Act at all and therefore need not be registered, if the securities are offered and sold in an “offshore transaction” and no </w:t>
      </w:r>
      <w:r>
        <w:rPr>
          <w:rFonts w:ascii="Times New Roman" w:hAnsi="Times New Roman" w:cs="Times New Roman"/>
          <w:sz w:val="24"/>
          <w:szCs w:val="24"/>
        </w:rPr>
        <w:lastRenderedPageBreak/>
        <w:t xml:space="preserve">“directed selling efforts” (both as defined in Regulation S’s definitional Rule 902) are made in the United States (guidance also provides that directed selling efforts to U.S. persons outside the United States are also not permitted; for example, to U.S. military personnel stationed outside the U.S.).  In  addition, the issuer, investor and other conditions of the transaction must fall into one of three categories set forth in Regulation S Rule 903, the Regulation S offering and sale safe harbor, in part depending on whether the issuer is a U.S. or foreign issuer and in part how likely the securities are to enter the U.S. market (see below).  </w:t>
      </w:r>
    </w:p>
    <w:p w:rsidR="00096552" w:rsidRPr="000225CC"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Limitations on Manner of Offering:  </w:t>
      </w:r>
      <w:r>
        <w:rPr>
          <w:rFonts w:ascii="Times New Roman" w:hAnsi="Times New Roman" w:cs="Times New Roman"/>
          <w:sz w:val="24"/>
          <w:szCs w:val="24"/>
        </w:rPr>
        <w:t xml:space="preserve">Regulation S is technically not an exemption to Securities Act registration requirements, but provides rules and safe harbors – one for offerings and sales (Rule 903), one for resales (Rule 904) - to determine whether an offshore offering of securities is subject to the Securities Act at all.  In practice, it is used as a Securities Act exemption.  </w:t>
      </w:r>
    </w:p>
    <w:p w:rsidR="00096552" w:rsidRPr="00930CD7" w:rsidRDefault="00096552" w:rsidP="00096552">
      <w:pPr>
        <w:pStyle w:val="ListParagraph"/>
        <w:rPr>
          <w:rFonts w:ascii="Times New Roman" w:hAnsi="Times New Roman" w:cs="Times New Roman"/>
          <w:sz w:val="24"/>
          <w:szCs w:val="24"/>
        </w:rPr>
      </w:pPr>
    </w:p>
    <w:p w:rsidR="00096552" w:rsidRDefault="00096552" w:rsidP="0009655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Rule 903 Category 1 is the least onerous category, because its conditions are the least likely to allow the exempted securities to come to rest in the U.S. market.  Issuers must be “foreign issuers” (as defined in Rule 902).  The securities being offered or sold must be securities for which there is “no substantial U.S. market interest.”  Alternatively, Rule 903 Category 1 may be satisfied by a foreign issuer offering and selling securities in an “overseas directed offering” into a single country other than the U.S. (non-convertible debt securities by a U.S. issuer into a single non-U.S. country may also qualify).  Alternatively, Rule 903 Category 1 may be satisfied by securities backed by the full faith and credit of a foreign government; or by securities are offered by the issuer to its employees as compensation under an employee benefit plan established under the laws of a country other than the U.S. – roughly analogous to the Rule 701 exemption for U.S. companies described above.</w:t>
      </w:r>
    </w:p>
    <w:p w:rsidR="00096552"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Rule 903 Category 2 is more onerous than Category 1, but less than Category 3. Category 2 is available if Category 1 is not available, for equity securities of an issuer foreign reporting company – a foreign issuer required to file periodic reports under the Exchange Act; or for the debt securities of an issuer U.S. domestic reporting company or a foreign non-reporting company.  Additionally, offering restrictions apply, and the offer and sale, if made before the expiration of a 40-day “Distribution Compliance Period” (as defined in Rule 902) may not be made to any U.S. person other than a distributor; and finally, any offer and sale by a distributor to another distributor or other intermediary is followed before expiration of the 40-day Distribution Compliance Period by a notice from the seller distributor to the purchaser distributor stating that the purchaser is subject to the same restrictions on offers and sales that that apply to the seller distributor. </w:t>
      </w:r>
    </w:p>
    <w:p w:rsidR="00096552"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Rule 903 Category 3 is the most onerous of the Rule 903 categories, because its conditions are the most likely to permit the exempted securities to come to rest in the U.S. market.  Category 3 applies to all securities not covered by Categories 1 and 2.  Issuer may be a foreign or domestic company.  If debt securities are offered, the offer and sale, if made before the expiration of a 40-day Distribution Compliance Period, must not be made to any U.S. person other than a distributor; only a provisional, non-exchangeable “global” security certificate is given until expiration of the 40-day period and, unless sold to a distributor, certification of beneficial ownership by a non-U.S. person or by a U.S. person in a transaction not requiring registration.  If equity securities are offered, the most onerous of all Rule 903 conditions applies:  the offer and sale, if made prior to the expiration of a </w:t>
      </w:r>
      <w:r w:rsidRPr="005E6C07">
        <w:rPr>
          <w:rFonts w:ascii="Times New Roman" w:hAnsi="Times New Roman" w:cs="Times New Roman"/>
          <w:i/>
          <w:sz w:val="24"/>
          <w:szCs w:val="24"/>
        </w:rPr>
        <w:t>one year</w:t>
      </w:r>
      <w:r>
        <w:rPr>
          <w:rFonts w:ascii="Times New Roman" w:hAnsi="Times New Roman" w:cs="Times New Roman"/>
          <w:sz w:val="24"/>
          <w:szCs w:val="24"/>
        </w:rPr>
        <w:t xml:space="preserve"> Distribution Compliance Period (six months in the case of a reporting issuer) may not be made to a U.S. person, unless to a distributor; the purchaser must certify that it is not a U.S. person (unless a distributor) or a U.S. person who purchased the securities in a transaction not requiring registration; and purchaser must agree to resell only in accordance with Regulation S or pursuant to Securities Act registration or exemption, for which the securities will bear the appropriate restrictive legend.  Finally, any offer and sale by a distributor to another distributor or other intermediary must be followed before expiration of the 40-day (in the case of debt securities) or one year or 6 month (in the case of equity securities) Distribution Compliance Period by a notice from the seller distributor to the purchaser distributor stating that the purchaser is subject to the same restrictions on offers and sales that that apply to the seller distributor.   </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SE</w:t>
      </w:r>
      <w:r>
        <w:rPr>
          <w:rFonts w:ascii="Times New Roman" w:hAnsi="Times New Roman" w:cs="Times New Roman"/>
          <w:sz w:val="24"/>
          <w:szCs w:val="24"/>
        </w:rPr>
        <w:t>C and State Filing Requirements:  SEC:  None, provided that issuer is not an Exchange Act reporting company.  State:  Must comply with state  law.</w:t>
      </w:r>
    </w:p>
    <w:p w:rsidR="00096552" w:rsidRPr="000225CC" w:rsidRDefault="00096552" w:rsidP="0009655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Limitations on Resales:</w:t>
      </w:r>
      <w:r>
        <w:rPr>
          <w:rFonts w:ascii="Times New Roman" w:hAnsi="Times New Roman" w:cs="Times New Roman"/>
          <w:sz w:val="24"/>
          <w:szCs w:val="24"/>
        </w:rPr>
        <w:t xml:space="preserve">  As set forth in the Rule 904 and the Rule 903 categories. Rule 904 repeats the “offshore transaction” and “no directed selling efforts” into the U.S., and refers to the Rule 903 resale restrictions.  Additionally, Rule 904 adds conditions for resales during the applicable Distribution Compliance Period for Rule 903 Category 2 or Category 3 resales.  Regulation S Rule 905 adds that equity securities of domestic issuers sold under Regulation S are Restricted Securities in the meaning of Rule 144, and may only be resold upon registration or an exemption from registration.  If a domestic issuer’s equity securities sold under Rule 903 are resold under Rule 904, they will continue to be considered Restricted Securities.</w:t>
      </w:r>
    </w:p>
    <w:p w:rsidR="00096552" w:rsidRPr="000225CC" w:rsidRDefault="00096552" w:rsidP="00096552">
      <w:pPr>
        <w:pStyle w:val="ListParagraph"/>
        <w:ind w:left="1440"/>
        <w:jc w:val="bot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Information Requirements:</w:t>
      </w:r>
      <w:r>
        <w:rPr>
          <w:rFonts w:ascii="Times New Roman" w:hAnsi="Times New Roman" w:cs="Times New Roman"/>
          <w:sz w:val="24"/>
          <w:szCs w:val="24"/>
        </w:rPr>
        <w:t xml:space="preserve">  The a</w:t>
      </w:r>
      <w:r w:rsidRPr="000225CC">
        <w:rPr>
          <w:rFonts w:ascii="Times New Roman" w:hAnsi="Times New Roman" w:cs="Times New Roman"/>
          <w:sz w:val="24"/>
          <w:szCs w:val="24"/>
        </w:rPr>
        <w:t>nti-fraud provisions of securities laws and regulations apply</w:t>
      </w:r>
      <w:r>
        <w:rPr>
          <w:rFonts w:ascii="Times New Roman" w:hAnsi="Times New Roman" w:cs="Times New Roman"/>
          <w:sz w:val="24"/>
          <w:szCs w:val="24"/>
        </w:rPr>
        <w:t>.</w:t>
      </w:r>
    </w:p>
    <w:p w:rsidR="00096552" w:rsidRPr="000225CC" w:rsidRDefault="00096552" w:rsidP="00096552">
      <w:pPr>
        <w:pStyle w:val="ListParagraph"/>
        <w:rPr>
          <w:rFonts w:ascii="Times New Roman" w:hAnsi="Times New Roman" w:cs="Times New Roman"/>
          <w:sz w:val="24"/>
          <w:szCs w:val="24"/>
        </w:rPr>
      </w:pPr>
    </w:p>
    <w:p w:rsidR="00096552" w:rsidRPr="000225CC"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lastRenderedPageBreak/>
        <w:t xml:space="preserve">Advantages:  </w:t>
      </w:r>
      <w:r>
        <w:rPr>
          <w:rFonts w:ascii="Times New Roman" w:hAnsi="Times New Roman" w:cs="Times New Roman"/>
          <w:sz w:val="24"/>
          <w:szCs w:val="24"/>
        </w:rPr>
        <w:t xml:space="preserve">Regulation S provides a roadmap for how to conduct offshore transactions while avoiding the applicability of the Securities Act.  Regulation S is not integrated with domestic exemptions, including under Regulation D, so that concurrent combined use of the two exemptions is permissible and sales permitted under Regulation S do not count against the Regulation D aggregate offering price limitations, if any.  </w:t>
      </w:r>
    </w:p>
    <w:p w:rsidR="00096552" w:rsidRPr="000225CC"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 xml:space="preserve">Disadvantages:  </w:t>
      </w:r>
      <w:r>
        <w:rPr>
          <w:rFonts w:ascii="Times New Roman" w:hAnsi="Times New Roman" w:cs="Times New Roman"/>
          <w:sz w:val="24"/>
          <w:szCs w:val="24"/>
        </w:rPr>
        <w:t>Regulation S has been used by fraudulent actors and is relatively strictly scrutinized by the SEC</w:t>
      </w:r>
      <w:r w:rsidRPr="000225CC">
        <w:rPr>
          <w:rFonts w:ascii="Times New Roman" w:hAnsi="Times New Roman" w:cs="Times New Roman"/>
          <w:sz w:val="24"/>
          <w:szCs w:val="24"/>
        </w:rPr>
        <w:t>.</w:t>
      </w:r>
      <w:r>
        <w:rPr>
          <w:rFonts w:ascii="Times New Roman" w:hAnsi="Times New Roman" w:cs="Times New Roman"/>
          <w:sz w:val="24"/>
          <w:szCs w:val="24"/>
        </w:rPr>
        <w:t xml:space="preserve">  Offer and sale of particularly of equity securities in a Rule 903 transaction (when Categories 1 and 2 are not available) is somewhat onerous, and, given the Distribution Compliance Periods, can be time consuming.</w:t>
      </w:r>
    </w:p>
    <w:p w:rsidR="00096552" w:rsidRPr="001C1174"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Rules 801 and 802:  Rules for Private Foreign Issuers in Rights Offerings, Stock Exchanges and Business Combinations.</w:t>
      </w:r>
    </w:p>
    <w:p w:rsidR="00096552" w:rsidRDefault="00096552" w:rsidP="00096552">
      <w:pPr>
        <w:pStyle w:val="ListParagraph"/>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Aggregate Offering Price Limitation:</w:t>
      </w:r>
      <w:r>
        <w:rPr>
          <w:rFonts w:ascii="Times New Roman" w:hAnsi="Times New Roman" w:cs="Times New Roman"/>
          <w:sz w:val="24"/>
          <w:szCs w:val="24"/>
        </w:rPr>
        <w:t xml:space="preserve">  None.</w:t>
      </w:r>
    </w:p>
    <w:p w:rsidR="00096552"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Issuer and Investor Requirements:</w:t>
      </w:r>
      <w:r>
        <w:rPr>
          <w:rFonts w:ascii="Times New Roman" w:hAnsi="Times New Roman" w:cs="Times New Roman"/>
          <w:sz w:val="24"/>
          <w:szCs w:val="24"/>
        </w:rPr>
        <w:t xml:space="preserve">  Issuer must be a foreign private issuer, meaning that it must be a company organized under the laws of a foreign country, cannot be a foreign government, and must not have more than 50% of outstanding voting securities owned directly or indirectly by U.S. residents, or, if more than 50% of outstanding voting securities are beneficially owned by U.S. residents, must not (i) have a majority of officers and directors who are U.S. citizens or residents; (ii) have a majority of assets in the U.S.; or (iii) principally administer its business in the U.S. (see Securities Act Regulation C Rule 405).  Investors must be non-U.S. holders, provided that the exemption is still available if U.S. holders own no more than 10% of the  securities that are the subject of the rights offering, exchange offering or business combination.  </w:t>
      </w:r>
    </w:p>
    <w:p w:rsidR="00096552" w:rsidRPr="00415BA5" w:rsidRDefault="00096552" w:rsidP="00096552">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w:t>
      </w: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Limitations on Manner of Offering:</w:t>
      </w:r>
      <w:r>
        <w:rPr>
          <w:rFonts w:ascii="Times New Roman" w:hAnsi="Times New Roman" w:cs="Times New Roman"/>
          <w:sz w:val="24"/>
          <w:szCs w:val="24"/>
        </w:rPr>
        <w:t xml:space="preserve">  Rules 801 and 802 (which must be read with their definitional section, Rule 800) are limited exemptions intended to facilitate foreign private issuers in rights offerings, stock exchanges and business combinations.  Rule 801 exempts from registration securities offered and sold by a foreign  private issuer in a rights offering (a grant to a class of securities holders of the right to purchase additional securities of the same class in proportion to that they already hold); Rule 802 exempts from registration securities offered and sold by a foreign private issuer in the course of an exchange offer (a tender offer in which securities are issued as consideration to be tendered) or a business combination, such as a statutory merger or reorganization.  A prescribed restrictive legend on the certificates evidencing the exempted securities is required.</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415BA5">
        <w:rPr>
          <w:rFonts w:ascii="Times New Roman" w:hAnsi="Times New Roman" w:cs="Times New Roman"/>
          <w:sz w:val="24"/>
          <w:szCs w:val="24"/>
        </w:rPr>
        <w:t>SEC and State Filing Requirements:</w:t>
      </w:r>
      <w:r>
        <w:rPr>
          <w:rFonts w:ascii="Times New Roman" w:hAnsi="Times New Roman" w:cs="Times New Roman"/>
          <w:sz w:val="24"/>
          <w:szCs w:val="24"/>
        </w:rPr>
        <w:t xml:space="preserve"> SEC:  If informational statement is furnished to investors (see below), Form CB containing the information statement must be filed immediately after first publication or dissemination of the information statement and Form F-X must also be filed, to appoint an agent for service of process.  State:  Must comply with state law.</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Limitations on Resale:  Securities sold under Rules 801 and 802 are Restricted Securities.  In the case of Rule 801, transfers of the rights by U.S. holders must also be in accordance with the requirements of Regulation S.</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Information Requirements:  If an optional information statement is furnished to investors, it, and any amendments, must be filed with the SEC on Form CB. </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Advantages:  For a foreign private issuer engaged in one of the specified business transactions, a clear roadmap to avoid Securities Act registration requirements.  Rule 801 and 802 offerings are not integrated with other Securities Act exemptions, and can therefore be combined with even simultaneous use of other exemptions.</w:t>
      </w:r>
    </w:p>
    <w:p w:rsidR="00096552" w:rsidRPr="00415BA5" w:rsidRDefault="00096552" w:rsidP="00096552">
      <w:pPr>
        <w:pStyle w:val="ListParagraph"/>
        <w:rPr>
          <w:rFonts w:ascii="Times New Roman" w:hAnsi="Times New Roman" w:cs="Times New Roman"/>
          <w:sz w:val="24"/>
          <w:szCs w:val="24"/>
        </w:rPr>
      </w:pPr>
    </w:p>
    <w:p w:rsidR="00096552" w:rsidRPr="00933E8D" w:rsidRDefault="00096552" w:rsidP="00096552">
      <w:pPr>
        <w:pStyle w:val="ListParagraph"/>
        <w:numPr>
          <w:ilvl w:val="1"/>
          <w:numId w:val="1"/>
        </w:numPr>
        <w:jc w:val="both"/>
        <w:rPr>
          <w:rFonts w:ascii="Times New Roman" w:hAnsi="Times New Roman"/>
          <w:sz w:val="24"/>
        </w:rPr>
      </w:pPr>
      <w:r>
        <w:rPr>
          <w:rFonts w:ascii="Times New Roman" w:hAnsi="Times New Roman" w:cs="Times New Roman"/>
          <w:sz w:val="24"/>
          <w:szCs w:val="24"/>
        </w:rPr>
        <w:t>Disadvantages:  Limited to foreign private issuers in prescribed business transactions.</w:t>
      </w:r>
    </w:p>
    <w:p w:rsidR="00096552" w:rsidRPr="001C1174"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Regulation CE Rule 1001:  Exemption for Transactions Exempt Under California Corporations Code Section 25102(n).</w:t>
      </w:r>
    </w:p>
    <w:p w:rsidR="00096552" w:rsidRDefault="00096552" w:rsidP="00096552">
      <w:pPr>
        <w:pStyle w:val="ListParagraph"/>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Aggregate Offering Price Limitation:</w:t>
      </w:r>
      <w:r>
        <w:rPr>
          <w:rFonts w:ascii="Times New Roman" w:hAnsi="Times New Roman" w:cs="Times New Roman"/>
          <w:sz w:val="24"/>
          <w:szCs w:val="24"/>
        </w:rPr>
        <w:t xml:space="preserve">  $5,000,000, notwithstanding the provisions of California Corporations Code section 25102(n) (Rule 1001 is a Securities Act section 3(b) exemption).</w:t>
      </w:r>
    </w:p>
    <w:p w:rsidR="00096552" w:rsidRDefault="00096552" w:rsidP="00096552">
      <w:pPr>
        <w:pStyle w:val="ListParagraph"/>
        <w:ind w:left="1440"/>
        <w:jc w:val="bot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t>Issuer and Investor Requirements:</w:t>
      </w:r>
      <w:r>
        <w:rPr>
          <w:rFonts w:ascii="Times New Roman" w:hAnsi="Times New Roman" w:cs="Times New Roman"/>
          <w:sz w:val="24"/>
          <w:szCs w:val="24"/>
        </w:rPr>
        <w:t xml:space="preserve">  Issuer must be a (i) corporation or other business entity formed under California law or (ii) non-California corporation if a majority of its outstanding voting securities are held by California residents and at least 50% of its property, payroll and sales are attributable to California.  The exemption is not available to investment companies required to register under the ICA.  Investors must be “Qualified Purchasers,” as defined by section 25102(n), a concept similar, but not identical, to Accredited Investors.  For example, natural person Qualified Purchasers must have $250,000 net worth and $100,000 income, compared to the $1 million net worth and $200,000 income qualifications for Accredited Investors; see Section II, above.     </w:t>
      </w:r>
    </w:p>
    <w:p w:rsidR="00096552" w:rsidRPr="00415BA5" w:rsidRDefault="00096552" w:rsidP="00096552">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w:t>
      </w:r>
    </w:p>
    <w:p w:rsidR="00096552" w:rsidRDefault="00096552" w:rsidP="00096552">
      <w:pPr>
        <w:pStyle w:val="ListParagraph"/>
        <w:numPr>
          <w:ilvl w:val="1"/>
          <w:numId w:val="1"/>
        </w:numPr>
        <w:jc w:val="both"/>
        <w:rPr>
          <w:rFonts w:ascii="Times New Roman" w:hAnsi="Times New Roman" w:cs="Times New Roman"/>
          <w:sz w:val="24"/>
          <w:szCs w:val="24"/>
        </w:rPr>
      </w:pPr>
      <w:r w:rsidRPr="000225CC">
        <w:rPr>
          <w:rFonts w:ascii="Times New Roman" w:hAnsi="Times New Roman" w:cs="Times New Roman"/>
          <w:sz w:val="24"/>
          <w:szCs w:val="24"/>
        </w:rPr>
        <w:lastRenderedPageBreak/>
        <w:t>Limitations on Manner of Offering:</w:t>
      </w:r>
      <w:r>
        <w:rPr>
          <w:rFonts w:ascii="Times New Roman" w:hAnsi="Times New Roman" w:cs="Times New Roman"/>
          <w:sz w:val="24"/>
          <w:szCs w:val="24"/>
        </w:rPr>
        <w:t xml:space="preserve">  Compliance with California Corporations Code section 25102(n).  “Testing the waters” activity is permitted by written communication containing required information.</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sidRPr="00415BA5">
        <w:rPr>
          <w:rFonts w:ascii="Times New Roman" w:hAnsi="Times New Roman" w:cs="Times New Roman"/>
          <w:sz w:val="24"/>
          <w:szCs w:val="24"/>
        </w:rPr>
        <w:t>SEC and State Filing Requirements:</w:t>
      </w:r>
      <w:r>
        <w:rPr>
          <w:rFonts w:ascii="Times New Roman" w:hAnsi="Times New Roman" w:cs="Times New Roman"/>
          <w:sz w:val="24"/>
          <w:szCs w:val="24"/>
        </w:rPr>
        <w:t xml:space="preserve">  SEC:  none.  State:  must comply with California law.</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Limitations on Resale:  Securities sold pursuant to the Rule 1001 exemption are Restricted Securities.</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Information Requirements:  For all sales to natural person qualified purchasers, including to business entities formed by natural persons to make the investment, a disclosure document containing the information required by Regulation D must be furnished (recall that Regulation D Rule 502 has a sliding scale of information statement, or PPM, disclosure requirements depending on the aggregate size of the offering under Rule 505 or 506; see Sections II and III, above).</w:t>
      </w:r>
    </w:p>
    <w:p w:rsidR="00096552" w:rsidRPr="00415BA5" w:rsidRDefault="00096552" w:rsidP="00096552">
      <w:pPr>
        <w:pStyle w:val="ListParagraph"/>
        <w:rPr>
          <w:rFonts w:ascii="Times New Roman" w:hAnsi="Times New Roman" w:cs="Times New Roman"/>
          <w:sz w:val="24"/>
          <w:szCs w:val="24"/>
        </w:rPr>
      </w:pPr>
    </w:p>
    <w:p w:rsidR="00096552" w:rsidRDefault="00096552" w:rsidP="0009655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Advantages:  Less restrictive than Rule 505 (which has the same aggregate offering limit) and Rule 506(b) in permitting limited “testing the waters” activity.  Differences between California “Qualified Purchaser” and federal “Accredited Investor” qualifications may provide advantages in individual cases; for example, the Qualified Purchaser individual net worth and income requirements are lower, and therefore easier to qualify for, than are the Regulation D Accredited Investor requirements:  the California Qualified Purchaser net worth requirement is $250,000 and income requirement is $100,000 (Regulation D requires $1 million and $200,000 respectively; see Section II, above).  In other words, a potential investor might qualify as a California Qualified Purchaser but not as a federal Regulation D Accredited Investor.  Of course, a natural person California Qualified Purchaser would still have to be given a PPM, which only non-Accredited Investors under Regulation D need be given, so the advantage in access to a group of investors might be partly offset by the increased cost of preparing the PPM.</w:t>
      </w:r>
    </w:p>
    <w:p w:rsidR="00096552" w:rsidRPr="00415BA5" w:rsidRDefault="00096552" w:rsidP="00096552">
      <w:pPr>
        <w:pStyle w:val="ListParagraph"/>
        <w:rPr>
          <w:rFonts w:ascii="Times New Roman" w:hAnsi="Times New Roman" w:cs="Times New Roman"/>
          <w:sz w:val="24"/>
          <w:szCs w:val="24"/>
        </w:rPr>
      </w:pPr>
    </w:p>
    <w:p w:rsidR="00096552" w:rsidRPr="00C47EE6" w:rsidRDefault="00096552" w:rsidP="00096552">
      <w:pPr>
        <w:pStyle w:val="ListParagraph"/>
        <w:numPr>
          <w:ilvl w:val="1"/>
          <w:numId w:val="1"/>
        </w:numPr>
        <w:jc w:val="both"/>
        <w:rPr>
          <w:rFonts w:ascii="Times New Roman" w:hAnsi="Times New Roman"/>
          <w:sz w:val="24"/>
        </w:rPr>
      </w:pPr>
      <w:r>
        <w:rPr>
          <w:rFonts w:ascii="Times New Roman" w:hAnsi="Times New Roman" w:cs="Times New Roman"/>
          <w:sz w:val="24"/>
          <w:szCs w:val="24"/>
        </w:rPr>
        <w:t>Disadvantages:  Limited to California corporations or non-California companies majority-owned by California residents with at least 50% of property, payroll and sales attributable to California</w:t>
      </w:r>
      <w:r w:rsidRPr="00C47EE6">
        <w:rPr>
          <w:rFonts w:ascii="Times New Roman" w:hAnsi="Times New Roman" w:cs="Times New Roman"/>
          <w:sz w:val="24"/>
          <w:szCs w:val="24"/>
        </w:rPr>
        <w:t>.</w:t>
      </w:r>
      <w:r>
        <w:rPr>
          <w:rFonts w:ascii="Times New Roman" w:hAnsi="Times New Roman" w:cs="Times New Roman"/>
          <w:sz w:val="24"/>
          <w:szCs w:val="24"/>
        </w:rPr>
        <w:t xml:space="preserve"> Relatively low ($5,000,000) aggregate offering price.  Information disclosure statement compliant with Regulation D is required for any natural person Qualified Purchaser, unlike the case for Regulation D Rule 505 and 506 Accredited Investors.  As with Securities Act section 3(b), Regulation CE is not itself an exemption, only an authorization to create exemptions, so in case of noncompliance with Rule 1001 (and the underlying California Corporations Code section </w:t>
      </w:r>
      <w:r>
        <w:rPr>
          <w:rFonts w:ascii="Times New Roman" w:hAnsi="Times New Roman" w:cs="Times New Roman"/>
          <w:sz w:val="24"/>
          <w:szCs w:val="24"/>
        </w:rPr>
        <w:lastRenderedPageBreak/>
        <w:t>25102(n)), there is no fallback (Regulation CE indicates “</w:t>
      </w:r>
      <w:r w:rsidRPr="00EE3E1F">
        <w:rPr>
          <w:rFonts w:ascii="Times New Roman" w:hAnsi="Times New Roman" w:cs="Times New Roman"/>
          <w:color w:val="333333"/>
          <w:sz w:val="24"/>
          <w:szCs w:val="24"/>
          <w:shd w:val="clear" w:color="auto" w:fill="FFFFFF"/>
        </w:rPr>
        <w:t>Coordinated Exemptions for Certain Issues of Securities Exempt Under State Law</w:t>
      </w:r>
      <w:r>
        <w:rPr>
          <w:rFonts w:ascii="Times New Roman" w:hAnsi="Times New Roman" w:cs="Times New Roman"/>
          <w:color w:val="333333"/>
          <w:sz w:val="24"/>
          <w:szCs w:val="24"/>
          <w:shd w:val="clear" w:color="auto" w:fill="FFFFFF"/>
        </w:rPr>
        <w:t>,” intended to provide a mechanism for qualifying state statutes to constitute an exemption to the federal Securities Act registration requirement; to date, only California</w:t>
      </w:r>
      <w:r>
        <w:rPr>
          <w:rFonts w:ascii="Times New Roman" w:hAnsi="Times New Roman" w:cs="Times New Roman"/>
          <w:sz w:val="24"/>
          <w:szCs w:val="24"/>
        </w:rPr>
        <w:t xml:space="preserve"> has passed such a law).</w:t>
      </w:r>
    </w:p>
    <w:p w:rsidR="00096552" w:rsidRPr="00C47EE6" w:rsidRDefault="00096552" w:rsidP="00096552">
      <w:pPr>
        <w:pStyle w:val="ListParagraph"/>
        <w:rPr>
          <w:rFonts w:ascii="Times New Roman" w:hAnsi="Times New Roman"/>
          <w:sz w:val="24"/>
        </w:rPr>
      </w:pPr>
    </w:p>
    <w:p w:rsidR="00A535A9" w:rsidRDefault="00A535A9" w:rsidP="000965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SEC Data</w:t>
      </w:r>
      <w:r w:rsidR="00A11CAB">
        <w:rPr>
          <w:rFonts w:ascii="Times New Roman" w:hAnsi="Times New Roman" w:cs="Times New Roman"/>
          <w:sz w:val="24"/>
          <w:szCs w:val="24"/>
        </w:rPr>
        <w:t xml:space="preserve"> Metrics</w:t>
      </w:r>
      <w:r>
        <w:rPr>
          <w:rFonts w:ascii="Times New Roman" w:hAnsi="Times New Roman" w:cs="Times New Roman"/>
          <w:sz w:val="24"/>
          <w:szCs w:val="24"/>
        </w:rPr>
        <w:t>.</w:t>
      </w:r>
    </w:p>
    <w:p w:rsidR="00A535A9" w:rsidRPr="00765EE9" w:rsidRDefault="00A535A9" w:rsidP="00A535A9">
      <w:pPr>
        <w:spacing w:line="360" w:lineRule="auto"/>
        <w:jc w:val="both"/>
        <w:rPr>
          <w:rFonts w:ascii="Times New Roman" w:hAnsi="Times New Roman"/>
          <w:sz w:val="24"/>
        </w:rPr>
      </w:pPr>
      <w:r>
        <w:rPr>
          <w:rFonts w:ascii="Times New Roman" w:hAnsi="Times New Roman"/>
          <w:sz w:val="24"/>
        </w:rPr>
        <w:t xml:space="preserve">The SEC has compiled valuable statistics on filed exempt offerings for the period 2009 -2015, which give valuable information as to issuers’ assessment of their utility (see </w:t>
      </w:r>
      <w:r w:rsidRPr="00166435">
        <w:rPr>
          <w:rFonts w:ascii="Times New Roman" w:hAnsi="Times New Roman"/>
          <w:sz w:val="24"/>
        </w:rPr>
        <w:t>https://www.sec.gov/rules/final/2016/33-10238.pdf</w:t>
      </w:r>
      <w:r>
        <w:rPr>
          <w:rFonts w:ascii="Times New Roman" w:hAnsi="Times New Roman"/>
          <w:sz w:val="24"/>
        </w:rPr>
        <w:t xml:space="preserve">).  For example, the overwhelming majority of Regulation D offerings between 2009 -2015 were pursuant to Rule 506(b), with Rule 504 seldom used, and Rule 505 falling almost into disuse, justifying the </w:t>
      </w:r>
      <w:r>
        <w:rPr>
          <w:rFonts w:ascii="Times New Roman" w:hAnsi="Times New Roman"/>
          <w:sz w:val="24"/>
        </w:rPr>
        <w:t xml:space="preserve">2017 </w:t>
      </w:r>
      <w:r>
        <w:rPr>
          <w:rFonts w:ascii="Times New Roman" w:hAnsi="Times New Roman"/>
          <w:sz w:val="24"/>
        </w:rPr>
        <w:t>decision to repeal it.  Rule 506(b) was even far more widely used than Rule 504 for offerings under $1 million, for which Rule 504 would have been available.  Over the 2009 – 2015 period, Rule 506(b)’s sweet spot was for offerings under $1 million and offers in the $5-50 million range, for which approx.. 32,000 – 36,000 offerings</w:t>
      </w:r>
      <w:r w:rsidR="00667E2A">
        <w:rPr>
          <w:rFonts w:ascii="Times New Roman" w:hAnsi="Times New Roman"/>
          <w:sz w:val="24"/>
        </w:rPr>
        <w:t xml:space="preserve"> were made</w:t>
      </w:r>
      <w:r>
        <w:rPr>
          <w:rFonts w:ascii="Times New Roman" w:hAnsi="Times New Roman"/>
          <w:sz w:val="24"/>
        </w:rPr>
        <w:t xml:space="preserve"> in each case.  Rule 506(b) was nevertheless popular for offerings betwee</w:t>
      </w:r>
      <w:r w:rsidR="001214B7">
        <w:rPr>
          <w:rFonts w:ascii="Times New Roman" w:hAnsi="Times New Roman"/>
          <w:sz w:val="24"/>
        </w:rPr>
        <w:t xml:space="preserve">n 1 – 2.5 million </w:t>
      </w:r>
      <w:r>
        <w:rPr>
          <w:rFonts w:ascii="Times New Roman" w:hAnsi="Times New Roman"/>
          <w:sz w:val="24"/>
        </w:rPr>
        <w:t>and over $50 million, with between approximatel</w:t>
      </w:r>
      <w:r w:rsidR="00667E2A">
        <w:rPr>
          <w:rFonts w:ascii="Times New Roman" w:hAnsi="Times New Roman"/>
          <w:sz w:val="24"/>
        </w:rPr>
        <w:t>y</w:t>
      </w:r>
      <w:r>
        <w:rPr>
          <w:rFonts w:ascii="Times New Roman" w:hAnsi="Times New Roman"/>
          <w:sz w:val="24"/>
        </w:rPr>
        <w:t xml:space="preserve"> 15,000 and 19,000 conducted in each offering size range during the 2009 -2015 period.  By comparison, Rule 506(c) was seldom used, perhaps owing to an assessment that its general offering and solicitation features were outweighed by the complexity and cost of its regulatory requirements, compared to Rule 506(b).  Rule 506(c) had 1,233 offerings under $1 million over the time period, and nearly 975 between $5 – 50 million over the time period, with the other offering size ranges maxing out at just over 500 for the time period.  Regulation A was even smaller, maxing out at 33 offerings in the $2.5</w:t>
      </w:r>
      <w:r w:rsidR="00667E2A">
        <w:rPr>
          <w:rFonts w:ascii="Times New Roman" w:hAnsi="Times New Roman"/>
          <w:sz w:val="24"/>
        </w:rPr>
        <w:t xml:space="preserve"> </w:t>
      </w:r>
      <w:r>
        <w:rPr>
          <w:rFonts w:ascii="Times New Roman" w:hAnsi="Times New Roman"/>
          <w:sz w:val="24"/>
        </w:rPr>
        <w:t>-</w:t>
      </w:r>
      <w:r w:rsidR="00667E2A">
        <w:rPr>
          <w:rFonts w:ascii="Times New Roman" w:hAnsi="Times New Roman"/>
          <w:sz w:val="24"/>
        </w:rPr>
        <w:t xml:space="preserve"> </w:t>
      </w:r>
      <w:r>
        <w:rPr>
          <w:rFonts w:ascii="Times New Roman" w:hAnsi="Times New Roman"/>
          <w:sz w:val="24"/>
        </w:rPr>
        <w:t>5 million range over the time period.  Of course, for non-filed offerings, such as under Securities Act section 4 (a)(</w:t>
      </w:r>
      <w:r w:rsidR="00667E2A">
        <w:rPr>
          <w:rFonts w:ascii="Times New Roman" w:hAnsi="Times New Roman"/>
          <w:sz w:val="24"/>
        </w:rPr>
        <w:t>2</w:t>
      </w:r>
      <w:r>
        <w:rPr>
          <w:rFonts w:ascii="Times New Roman" w:hAnsi="Times New Roman"/>
          <w:sz w:val="24"/>
        </w:rPr>
        <w:t>), no SEC-compiled data is available.  Of course, the Regulation A Tier 2 (Regulation A+) amendment, which became effective in June 2015, allowing offerings of up to $50 mill</w:t>
      </w:r>
      <w:r w:rsidR="00667E2A">
        <w:rPr>
          <w:rFonts w:ascii="Times New Roman" w:hAnsi="Times New Roman"/>
          <w:sz w:val="24"/>
        </w:rPr>
        <w:t>ion over a 12 month period, has</w:t>
      </w:r>
      <w:r>
        <w:rPr>
          <w:rFonts w:ascii="Times New Roman" w:hAnsi="Times New Roman"/>
          <w:sz w:val="24"/>
        </w:rPr>
        <w:t xml:space="preserve"> not been in effect for long enough to fully assess. </w:t>
      </w:r>
    </w:p>
    <w:p w:rsidR="00A535A9" w:rsidRDefault="00A535A9" w:rsidP="00A535A9">
      <w:pPr>
        <w:pStyle w:val="ListParagraph"/>
        <w:jc w:val="both"/>
        <w:rPr>
          <w:rFonts w:ascii="Times New Roman" w:hAnsi="Times New Roman" w:cs="Times New Roman"/>
          <w:sz w:val="24"/>
          <w:szCs w:val="24"/>
        </w:rPr>
      </w:pPr>
    </w:p>
    <w:p w:rsidR="00096552" w:rsidRDefault="00096552" w:rsidP="000965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Deal Points.</w:t>
      </w:r>
    </w:p>
    <w:p w:rsidR="00096552" w:rsidRDefault="00096552" w:rsidP="00096552">
      <w:pPr>
        <w:pStyle w:val="ListParagraph"/>
        <w:jc w:val="both"/>
        <w:rPr>
          <w:rFonts w:ascii="Times New Roman" w:hAnsi="Times New Roman" w:cs="Times New Roman"/>
          <w:sz w:val="24"/>
          <w:szCs w:val="24"/>
        </w:rPr>
      </w:pPr>
    </w:p>
    <w:p w:rsidR="00096552" w:rsidRDefault="00096552" w:rsidP="00096552">
      <w:pPr>
        <w:pStyle w:val="ListParagraph"/>
        <w:jc w:val="both"/>
        <w:rPr>
          <w:rFonts w:ascii="Times New Roman" w:hAnsi="Times New Roman" w:cs="Times New Roman"/>
          <w:b/>
          <w:i/>
          <w:sz w:val="24"/>
          <w:szCs w:val="24"/>
        </w:rPr>
      </w:pPr>
      <w:r w:rsidRPr="000D7A57">
        <w:rPr>
          <w:rFonts w:ascii="Times New Roman" w:hAnsi="Times New Roman" w:cs="Times New Roman"/>
          <w:b/>
          <w:i/>
          <w:sz w:val="24"/>
          <w:szCs w:val="24"/>
        </w:rPr>
        <w:t>Deal Point No. 1:</w:t>
      </w:r>
      <w:r>
        <w:rPr>
          <w:rFonts w:ascii="Times New Roman" w:hAnsi="Times New Roman" w:cs="Times New Roman"/>
          <w:b/>
          <w:i/>
          <w:sz w:val="24"/>
          <w:szCs w:val="24"/>
        </w:rPr>
        <w:t xml:space="preserve">  Choose what Exemption Features are Important.  </w:t>
      </w:r>
      <w:r>
        <w:rPr>
          <w:rFonts w:ascii="Times New Roman" w:hAnsi="Times New Roman" w:cs="Times New Roman"/>
          <w:sz w:val="24"/>
          <w:szCs w:val="24"/>
        </w:rPr>
        <w:t xml:space="preserve">For example, if issuing unrestricted securities for resale is what matters, irrespective of possible registration or availability of a resale exemption, the limited rights under Regulation D Rule 504 or Regulation A+ might be indicated.  </w:t>
      </w:r>
      <w:r>
        <w:rPr>
          <w:rFonts w:ascii="Times New Roman" w:hAnsi="Times New Roman" w:cs="Times New Roman"/>
          <w:sz w:val="24"/>
          <w:szCs w:val="24"/>
        </w:rPr>
        <w:lastRenderedPageBreak/>
        <w:t xml:space="preserve">Regulation A+ has more extensive disclosure obligations, but a much higher aggregate offering limit, especially in Tier 2.  If cost is a factor, if only Accredited Investors are to be sold to, and if an unlimited number of investors and an unlimited aggregate price are desired, Regulation D Rule 506 might be indicated.  The chart in Appendix 1 is intended as a graphical aide for developing a preliminary sense of the different factors, and of course experienced counsel can help weigh the factors and arrive at a decision.    </w:t>
      </w:r>
      <w:r>
        <w:rPr>
          <w:rFonts w:ascii="Times New Roman" w:hAnsi="Times New Roman" w:cs="Times New Roman"/>
          <w:b/>
          <w:i/>
          <w:sz w:val="24"/>
          <w:szCs w:val="24"/>
        </w:rPr>
        <w:t xml:space="preserve"> </w:t>
      </w:r>
    </w:p>
    <w:p w:rsidR="00096552" w:rsidRDefault="00096552" w:rsidP="00096552">
      <w:pPr>
        <w:pStyle w:val="ListParagraph"/>
        <w:jc w:val="both"/>
        <w:rPr>
          <w:rFonts w:ascii="Times New Roman" w:hAnsi="Times New Roman" w:cs="Times New Roman"/>
          <w:b/>
          <w:i/>
          <w:sz w:val="24"/>
          <w:szCs w:val="24"/>
        </w:rPr>
      </w:pPr>
    </w:p>
    <w:p w:rsidR="00096552" w:rsidRPr="000D7A57" w:rsidRDefault="00096552" w:rsidP="00096552">
      <w:pPr>
        <w:pStyle w:val="ListParagraph"/>
        <w:jc w:val="both"/>
        <w:rPr>
          <w:rFonts w:ascii="Times New Roman" w:hAnsi="Times New Roman" w:cs="Times New Roman"/>
          <w:sz w:val="24"/>
          <w:szCs w:val="24"/>
        </w:rPr>
      </w:pPr>
      <w:r w:rsidRPr="000D7A57">
        <w:rPr>
          <w:rFonts w:ascii="Times New Roman" w:hAnsi="Times New Roman" w:cs="Times New Roman"/>
          <w:b/>
          <w:i/>
          <w:sz w:val="24"/>
          <w:szCs w:val="24"/>
        </w:rPr>
        <w:t xml:space="preserve">Deal Point No. </w:t>
      </w:r>
      <w:r>
        <w:rPr>
          <w:rFonts w:ascii="Times New Roman" w:hAnsi="Times New Roman" w:cs="Times New Roman"/>
          <w:b/>
          <w:i/>
          <w:sz w:val="24"/>
          <w:szCs w:val="24"/>
        </w:rPr>
        <w:t>2</w:t>
      </w:r>
      <w:r w:rsidRPr="000D7A57">
        <w:rPr>
          <w:rFonts w:ascii="Times New Roman" w:hAnsi="Times New Roman" w:cs="Times New Roman"/>
          <w:b/>
          <w:i/>
          <w:sz w:val="24"/>
          <w:szCs w:val="24"/>
        </w:rPr>
        <w:t>:  Don’t Sell to Non-accredited Investors.</w:t>
      </w:r>
      <w:r w:rsidRPr="000D7A57">
        <w:rPr>
          <w:rFonts w:ascii="Times New Roman" w:hAnsi="Times New Roman" w:cs="Times New Roman"/>
          <w:sz w:val="24"/>
          <w:szCs w:val="24"/>
        </w:rPr>
        <w:t xml:space="preserve">  It is rarely worth it.  Under Rule 506</w:t>
      </w:r>
      <w:r>
        <w:rPr>
          <w:rFonts w:ascii="Times New Roman" w:hAnsi="Times New Roman" w:cs="Times New Roman"/>
          <w:sz w:val="24"/>
          <w:szCs w:val="24"/>
        </w:rPr>
        <w:t>(b)</w:t>
      </w:r>
      <w:r w:rsidRPr="000D7A57">
        <w:rPr>
          <w:rFonts w:ascii="Times New Roman" w:hAnsi="Times New Roman" w:cs="Times New Roman"/>
          <w:sz w:val="24"/>
          <w:szCs w:val="24"/>
        </w:rPr>
        <w:t xml:space="preserve"> of Regulation D, securities in unlimited dollar value can be sold to an unlimited number of </w:t>
      </w:r>
      <w:r>
        <w:rPr>
          <w:rFonts w:ascii="Times New Roman" w:hAnsi="Times New Roman" w:cs="Times New Roman"/>
          <w:sz w:val="24"/>
          <w:szCs w:val="24"/>
        </w:rPr>
        <w:t>Accredited Investor</w:t>
      </w:r>
      <w:r w:rsidRPr="000D7A57">
        <w:rPr>
          <w:rFonts w:ascii="Times New Roman" w:hAnsi="Times New Roman" w:cs="Times New Roman"/>
          <w:sz w:val="24"/>
          <w:szCs w:val="24"/>
        </w:rPr>
        <w:t>s and to up to 35 non-</w:t>
      </w:r>
      <w:r>
        <w:rPr>
          <w:rFonts w:ascii="Times New Roman" w:hAnsi="Times New Roman" w:cs="Times New Roman"/>
          <w:sz w:val="24"/>
          <w:szCs w:val="24"/>
        </w:rPr>
        <w:t>accredited investor</w:t>
      </w:r>
      <w:r w:rsidRPr="000D7A57">
        <w:rPr>
          <w:rFonts w:ascii="Times New Roman" w:hAnsi="Times New Roman" w:cs="Times New Roman"/>
          <w:sz w:val="24"/>
          <w:szCs w:val="24"/>
        </w:rPr>
        <w:t>s.  However, if even one non-</w:t>
      </w:r>
      <w:r>
        <w:rPr>
          <w:rFonts w:ascii="Times New Roman" w:hAnsi="Times New Roman" w:cs="Times New Roman"/>
          <w:sz w:val="24"/>
          <w:szCs w:val="24"/>
        </w:rPr>
        <w:t>accredited investor</w:t>
      </w:r>
      <w:r w:rsidRPr="000D7A57">
        <w:rPr>
          <w:rFonts w:ascii="Times New Roman" w:hAnsi="Times New Roman" w:cs="Times New Roman"/>
          <w:sz w:val="24"/>
          <w:szCs w:val="24"/>
        </w:rPr>
        <w:t xml:space="preserve"> is sold to, two burdensome rules come into play:  first, under Rule 502 of Regulation D, all </w:t>
      </w:r>
      <w:r>
        <w:rPr>
          <w:rFonts w:ascii="Times New Roman" w:hAnsi="Times New Roman" w:cs="Times New Roman"/>
          <w:sz w:val="24"/>
          <w:szCs w:val="24"/>
        </w:rPr>
        <w:t>non-accredited investor</w:t>
      </w:r>
      <w:r w:rsidRPr="000D7A57">
        <w:rPr>
          <w:rFonts w:ascii="Times New Roman" w:hAnsi="Times New Roman" w:cs="Times New Roman"/>
          <w:sz w:val="24"/>
          <w:szCs w:val="24"/>
        </w:rPr>
        <w:t xml:space="preserve">s must receive </w:t>
      </w:r>
      <w:r>
        <w:rPr>
          <w:rFonts w:ascii="Times New Roman" w:hAnsi="Times New Roman" w:cs="Times New Roman"/>
          <w:sz w:val="24"/>
          <w:szCs w:val="24"/>
        </w:rPr>
        <w:t>a substantial disclosure document, a PPM</w:t>
      </w:r>
      <w:r w:rsidRPr="000D7A57">
        <w:rPr>
          <w:rFonts w:ascii="Times New Roman" w:hAnsi="Times New Roman" w:cs="Times New Roman"/>
          <w:sz w:val="24"/>
          <w:szCs w:val="24"/>
        </w:rPr>
        <w:t xml:space="preserve">.  This substantially increases the time, expense and potential risk of the private placement.  Second, under new Rule 506(c), while general solicitation and </w:t>
      </w:r>
      <w:r>
        <w:rPr>
          <w:rFonts w:ascii="Times New Roman" w:hAnsi="Times New Roman" w:cs="Times New Roman"/>
          <w:sz w:val="24"/>
          <w:szCs w:val="24"/>
        </w:rPr>
        <w:t>advertising</w:t>
      </w:r>
      <w:r w:rsidRPr="000D7A57">
        <w:rPr>
          <w:rFonts w:ascii="Times New Roman" w:hAnsi="Times New Roman" w:cs="Times New Roman"/>
          <w:sz w:val="24"/>
          <w:szCs w:val="24"/>
        </w:rPr>
        <w:t xml:space="preserve"> efforts (previously one of the hallmark prohibitions for private placements, as opposed to publicly filed securities offerings) can be made for </w:t>
      </w:r>
      <w:r>
        <w:rPr>
          <w:rFonts w:ascii="Times New Roman" w:hAnsi="Times New Roman" w:cs="Times New Roman"/>
          <w:sz w:val="24"/>
          <w:szCs w:val="24"/>
        </w:rPr>
        <w:t>Accredited Investor</w:t>
      </w:r>
      <w:r w:rsidRPr="000D7A57">
        <w:rPr>
          <w:rFonts w:ascii="Times New Roman" w:hAnsi="Times New Roman" w:cs="Times New Roman"/>
          <w:sz w:val="24"/>
          <w:szCs w:val="24"/>
        </w:rPr>
        <w:t>s, they may not be used for non-</w:t>
      </w:r>
      <w:r>
        <w:rPr>
          <w:rFonts w:ascii="Times New Roman" w:hAnsi="Times New Roman" w:cs="Times New Roman"/>
          <w:sz w:val="24"/>
          <w:szCs w:val="24"/>
        </w:rPr>
        <w:t>accredited investor</w:t>
      </w:r>
      <w:r w:rsidRPr="000D7A57">
        <w:rPr>
          <w:rFonts w:ascii="Times New Roman" w:hAnsi="Times New Roman" w:cs="Times New Roman"/>
          <w:sz w:val="24"/>
          <w:szCs w:val="24"/>
        </w:rPr>
        <w:t xml:space="preserve">s.  Given the relatively low threshold of wealth for status as an </w:t>
      </w:r>
      <w:r>
        <w:rPr>
          <w:rFonts w:ascii="Times New Roman" w:hAnsi="Times New Roman" w:cs="Times New Roman"/>
          <w:sz w:val="24"/>
          <w:szCs w:val="24"/>
        </w:rPr>
        <w:t>Accredited Investor</w:t>
      </w:r>
      <w:r w:rsidRPr="000D7A57">
        <w:rPr>
          <w:rFonts w:ascii="Times New Roman" w:hAnsi="Times New Roman" w:cs="Times New Roman"/>
          <w:sz w:val="24"/>
          <w:szCs w:val="24"/>
        </w:rPr>
        <w:t xml:space="preserve"> </w:t>
      </w:r>
      <w:r>
        <w:rPr>
          <w:rFonts w:ascii="Times New Roman" w:hAnsi="Times New Roman" w:cs="Times New Roman"/>
          <w:sz w:val="24"/>
          <w:szCs w:val="24"/>
        </w:rPr>
        <w:t xml:space="preserve">(especially for income) </w:t>
      </w:r>
      <w:r w:rsidRPr="000D7A57">
        <w:rPr>
          <w:rFonts w:ascii="Times New Roman" w:hAnsi="Times New Roman" w:cs="Times New Roman"/>
          <w:sz w:val="24"/>
          <w:szCs w:val="24"/>
        </w:rPr>
        <w:t>and the relatively low likelihood that anyone not qualifying would be a prospective purchaser anyway, i</w:t>
      </w:r>
      <w:r>
        <w:rPr>
          <w:rFonts w:ascii="Times New Roman" w:hAnsi="Times New Roman" w:cs="Times New Roman"/>
          <w:sz w:val="24"/>
          <w:szCs w:val="24"/>
        </w:rPr>
        <w:t xml:space="preserve">t is not usually worth selling </w:t>
      </w:r>
      <w:r w:rsidRPr="000D7A57">
        <w:rPr>
          <w:rFonts w:ascii="Times New Roman" w:hAnsi="Times New Roman" w:cs="Times New Roman"/>
          <w:sz w:val="24"/>
          <w:szCs w:val="24"/>
        </w:rPr>
        <w:t>to non-</w:t>
      </w:r>
      <w:r>
        <w:rPr>
          <w:rFonts w:ascii="Times New Roman" w:hAnsi="Times New Roman" w:cs="Times New Roman"/>
          <w:sz w:val="24"/>
          <w:szCs w:val="24"/>
        </w:rPr>
        <w:t>accredited investor</w:t>
      </w:r>
      <w:r w:rsidRPr="000D7A57">
        <w:rPr>
          <w:rFonts w:ascii="Times New Roman" w:hAnsi="Times New Roman" w:cs="Times New Roman"/>
          <w:sz w:val="24"/>
          <w:szCs w:val="24"/>
        </w:rPr>
        <w:t>s.</w:t>
      </w:r>
    </w:p>
    <w:p w:rsidR="00096552" w:rsidRPr="000225CC" w:rsidRDefault="00096552" w:rsidP="00096552">
      <w:pPr>
        <w:pStyle w:val="ListParagraph"/>
        <w:jc w:val="both"/>
        <w:rPr>
          <w:rFonts w:ascii="Times New Roman" w:hAnsi="Times New Roman" w:cs="Times New Roman"/>
          <w:sz w:val="24"/>
          <w:szCs w:val="24"/>
        </w:rPr>
      </w:pPr>
    </w:p>
    <w:p w:rsidR="00096552" w:rsidRPr="000225CC" w:rsidRDefault="00096552" w:rsidP="00096552">
      <w:pPr>
        <w:pStyle w:val="ListParagraph"/>
        <w:jc w:val="both"/>
        <w:rPr>
          <w:rFonts w:ascii="Times New Roman" w:hAnsi="Times New Roman" w:cs="Times New Roman"/>
          <w:sz w:val="24"/>
          <w:szCs w:val="24"/>
        </w:rPr>
      </w:pPr>
      <w:r w:rsidRPr="000225CC">
        <w:rPr>
          <w:rFonts w:ascii="Times New Roman" w:hAnsi="Times New Roman" w:cs="Times New Roman"/>
          <w:b/>
          <w:i/>
          <w:sz w:val="24"/>
          <w:szCs w:val="24"/>
        </w:rPr>
        <w:t xml:space="preserve">Deal Point No. </w:t>
      </w:r>
      <w:r>
        <w:rPr>
          <w:rFonts w:ascii="Times New Roman" w:hAnsi="Times New Roman" w:cs="Times New Roman"/>
          <w:b/>
          <w:i/>
          <w:sz w:val="24"/>
          <w:szCs w:val="24"/>
        </w:rPr>
        <w:t>3</w:t>
      </w:r>
      <w:r w:rsidRPr="000225CC">
        <w:rPr>
          <w:rFonts w:ascii="Times New Roman" w:hAnsi="Times New Roman" w:cs="Times New Roman"/>
          <w:b/>
          <w:i/>
          <w:sz w:val="24"/>
          <w:szCs w:val="24"/>
        </w:rPr>
        <w:t xml:space="preserve">:  Use the Safe Harbors!  </w:t>
      </w:r>
      <w:r w:rsidRPr="000225CC">
        <w:rPr>
          <w:rFonts w:ascii="Times New Roman" w:hAnsi="Times New Roman" w:cs="Times New Roman"/>
          <w:sz w:val="24"/>
          <w:szCs w:val="24"/>
        </w:rPr>
        <w:t xml:space="preserve">Compliance with </w:t>
      </w:r>
      <w:r>
        <w:rPr>
          <w:rFonts w:ascii="Times New Roman" w:hAnsi="Times New Roman" w:cs="Times New Roman"/>
          <w:sz w:val="24"/>
          <w:szCs w:val="24"/>
        </w:rPr>
        <w:t>regulatory safe harbors</w:t>
      </w:r>
      <w:r w:rsidRPr="000225CC">
        <w:rPr>
          <w:rFonts w:ascii="Times New Roman" w:hAnsi="Times New Roman" w:cs="Times New Roman"/>
          <w:sz w:val="24"/>
          <w:szCs w:val="24"/>
        </w:rPr>
        <w:t xml:space="preserve"> does not cost much, especially in proportion to all but the smal</w:t>
      </w:r>
      <w:r>
        <w:rPr>
          <w:rFonts w:ascii="Times New Roman" w:hAnsi="Times New Roman" w:cs="Times New Roman"/>
          <w:sz w:val="24"/>
          <w:szCs w:val="24"/>
        </w:rPr>
        <w:t>lest private placement and other exempt sales.  For example, u</w:t>
      </w:r>
      <w:r w:rsidRPr="000225CC">
        <w:rPr>
          <w:rFonts w:ascii="Times New Roman" w:hAnsi="Times New Roman" w:cs="Times New Roman"/>
          <w:sz w:val="24"/>
          <w:szCs w:val="24"/>
        </w:rPr>
        <w:t>nless you are sure you are selling only to institutional investors, comply with Regulation D</w:t>
      </w:r>
      <w:r>
        <w:rPr>
          <w:rFonts w:ascii="Times New Roman" w:hAnsi="Times New Roman" w:cs="Times New Roman"/>
          <w:sz w:val="24"/>
          <w:szCs w:val="24"/>
        </w:rPr>
        <w:t xml:space="preserve"> Rule 506</w:t>
      </w:r>
      <w:r w:rsidRPr="000225CC">
        <w:rPr>
          <w:rFonts w:ascii="Times New Roman" w:hAnsi="Times New Roman" w:cs="Times New Roman"/>
          <w:sz w:val="24"/>
          <w:szCs w:val="24"/>
        </w:rPr>
        <w:t xml:space="preserve"> to preserve section 4(a)(2) as a fallback.</w:t>
      </w:r>
    </w:p>
    <w:p w:rsidR="00096552" w:rsidRPr="000225CC" w:rsidRDefault="00096552" w:rsidP="00096552">
      <w:pPr>
        <w:pStyle w:val="ListParagraph"/>
        <w:jc w:val="both"/>
        <w:rPr>
          <w:rFonts w:ascii="Times New Roman" w:hAnsi="Times New Roman" w:cs="Times New Roman"/>
          <w:b/>
          <w:i/>
          <w:sz w:val="24"/>
          <w:szCs w:val="24"/>
        </w:rPr>
      </w:pPr>
    </w:p>
    <w:p w:rsidR="00096552" w:rsidRPr="000225CC" w:rsidRDefault="00096552" w:rsidP="00096552">
      <w:pPr>
        <w:pStyle w:val="ListParagraph"/>
        <w:jc w:val="both"/>
        <w:rPr>
          <w:rFonts w:ascii="Times New Roman" w:hAnsi="Times New Roman" w:cs="Times New Roman"/>
          <w:sz w:val="24"/>
          <w:szCs w:val="24"/>
        </w:rPr>
      </w:pPr>
      <w:r>
        <w:rPr>
          <w:rFonts w:ascii="Times New Roman" w:hAnsi="Times New Roman" w:cs="Times New Roman"/>
          <w:b/>
          <w:i/>
          <w:sz w:val="24"/>
          <w:szCs w:val="24"/>
        </w:rPr>
        <w:t>Deal Point No. 4</w:t>
      </w:r>
      <w:r w:rsidRPr="000225CC">
        <w:rPr>
          <w:rFonts w:ascii="Times New Roman" w:hAnsi="Times New Roman" w:cs="Times New Roman"/>
          <w:b/>
          <w:i/>
          <w:sz w:val="24"/>
          <w:szCs w:val="24"/>
        </w:rPr>
        <w:t xml:space="preserve">:  Unless Selling Only to Institutional Investors, Use a Private Placement Memorandum.  </w:t>
      </w:r>
      <w:r w:rsidRPr="000225CC">
        <w:rPr>
          <w:rFonts w:ascii="Times New Roman" w:hAnsi="Times New Roman" w:cs="Times New Roman"/>
          <w:sz w:val="24"/>
          <w:szCs w:val="24"/>
        </w:rPr>
        <w:t>A P</w:t>
      </w:r>
      <w:r>
        <w:rPr>
          <w:rFonts w:ascii="Times New Roman" w:hAnsi="Times New Roman" w:cs="Times New Roman"/>
          <w:sz w:val="24"/>
          <w:szCs w:val="24"/>
        </w:rPr>
        <w:t>PM</w:t>
      </w:r>
      <w:r w:rsidRPr="000225CC">
        <w:rPr>
          <w:rFonts w:ascii="Times New Roman" w:hAnsi="Times New Roman" w:cs="Times New Roman"/>
          <w:sz w:val="24"/>
          <w:szCs w:val="24"/>
        </w:rPr>
        <w:t xml:space="preserve"> disclosing basic quantitative and qualitative information about the issuer and securities is not expensive, compared to the protection it provides.  It memorializes the disclosures made, and can serve as the best </w:t>
      </w:r>
      <w:r w:rsidR="007B2DE3">
        <w:rPr>
          <w:rFonts w:ascii="Times New Roman" w:hAnsi="Times New Roman" w:cs="Times New Roman"/>
          <w:sz w:val="24"/>
          <w:szCs w:val="24"/>
        </w:rPr>
        <w:t xml:space="preserve">evidentiary </w:t>
      </w:r>
      <w:r w:rsidRPr="000225CC">
        <w:rPr>
          <w:rFonts w:ascii="Times New Roman" w:hAnsi="Times New Roman" w:cs="Times New Roman"/>
          <w:sz w:val="24"/>
          <w:szCs w:val="24"/>
        </w:rPr>
        <w:t xml:space="preserve">refutation </w:t>
      </w:r>
      <w:r>
        <w:rPr>
          <w:rFonts w:ascii="Times New Roman" w:hAnsi="Times New Roman" w:cs="Times New Roman"/>
          <w:sz w:val="24"/>
          <w:szCs w:val="24"/>
        </w:rPr>
        <w:t xml:space="preserve">to a later fraud claim </w:t>
      </w:r>
      <w:r w:rsidRPr="000225CC">
        <w:rPr>
          <w:rFonts w:ascii="Times New Roman" w:hAnsi="Times New Roman" w:cs="Times New Roman"/>
          <w:sz w:val="24"/>
          <w:szCs w:val="24"/>
        </w:rPr>
        <w:t>of an allegation of misrepresentation or omission to state a material fact.</w:t>
      </w:r>
      <w:r>
        <w:rPr>
          <w:rFonts w:ascii="Times New Roman" w:hAnsi="Times New Roman" w:cs="Times New Roman"/>
          <w:sz w:val="24"/>
          <w:szCs w:val="24"/>
        </w:rPr>
        <w:t xml:space="preserve">  Also, the foregoing review of exemptions from the registration requirements sets forth what information disclosure is legally mandated, not advisable; the requirements are a disclosure floor, not a ceiling.  If the issuer has a good investment story to tell, it should tell it in a PPM; if well executed, it will encourage the target investors to invest.  </w:t>
      </w:r>
      <w:r w:rsidRPr="000225CC">
        <w:rPr>
          <w:rFonts w:ascii="Times New Roman" w:hAnsi="Times New Roman" w:cs="Times New Roman"/>
          <w:b/>
          <w:i/>
          <w:sz w:val="24"/>
          <w:szCs w:val="24"/>
        </w:rPr>
        <w:t xml:space="preserve"> </w:t>
      </w:r>
    </w:p>
    <w:p w:rsidR="00096552" w:rsidRPr="000225CC" w:rsidRDefault="00096552" w:rsidP="00096552">
      <w:pPr>
        <w:pStyle w:val="ListParagraph"/>
        <w:jc w:val="both"/>
        <w:rPr>
          <w:rFonts w:ascii="Times New Roman" w:hAnsi="Times New Roman" w:cs="Times New Roman"/>
          <w:b/>
          <w:i/>
          <w:sz w:val="24"/>
          <w:szCs w:val="24"/>
        </w:rPr>
      </w:pPr>
    </w:p>
    <w:p w:rsidR="00096552" w:rsidRPr="000225CC" w:rsidRDefault="00096552" w:rsidP="00096552">
      <w:pPr>
        <w:pStyle w:val="ListParagraph"/>
        <w:jc w:val="both"/>
        <w:rPr>
          <w:rFonts w:ascii="Times New Roman" w:hAnsi="Times New Roman" w:cs="Times New Roman"/>
          <w:sz w:val="24"/>
          <w:szCs w:val="24"/>
        </w:rPr>
      </w:pPr>
      <w:r w:rsidRPr="000225CC">
        <w:rPr>
          <w:rFonts w:ascii="Times New Roman" w:hAnsi="Times New Roman" w:cs="Times New Roman"/>
          <w:b/>
          <w:i/>
          <w:sz w:val="24"/>
          <w:szCs w:val="24"/>
        </w:rPr>
        <w:t>Deal Point No.</w:t>
      </w:r>
      <w:r>
        <w:rPr>
          <w:rFonts w:ascii="Times New Roman" w:hAnsi="Times New Roman" w:cs="Times New Roman"/>
          <w:b/>
          <w:i/>
          <w:sz w:val="24"/>
          <w:szCs w:val="24"/>
        </w:rPr>
        <w:t xml:space="preserve"> 5</w:t>
      </w:r>
      <w:r w:rsidRPr="000225CC">
        <w:rPr>
          <w:rFonts w:ascii="Times New Roman" w:hAnsi="Times New Roman" w:cs="Times New Roman"/>
          <w:b/>
          <w:i/>
          <w:sz w:val="24"/>
          <w:szCs w:val="24"/>
        </w:rPr>
        <w:t>:  Don’t Commit Fraud</w:t>
      </w:r>
      <w:r>
        <w:rPr>
          <w:rFonts w:ascii="Times New Roman" w:hAnsi="Times New Roman" w:cs="Times New Roman"/>
          <w:b/>
          <w:i/>
          <w:sz w:val="24"/>
          <w:szCs w:val="24"/>
        </w:rPr>
        <w:t>!</w:t>
      </w:r>
      <w:r w:rsidRPr="000225CC">
        <w:rPr>
          <w:rFonts w:ascii="Times New Roman" w:hAnsi="Times New Roman" w:cs="Times New Roman"/>
          <w:sz w:val="24"/>
          <w:szCs w:val="24"/>
        </w:rPr>
        <w:t xml:space="preserve">  The anti-fraud prohibitions of the Securities Act</w:t>
      </w:r>
      <w:r>
        <w:rPr>
          <w:rFonts w:ascii="Times New Roman" w:hAnsi="Times New Roman" w:cs="Times New Roman"/>
          <w:sz w:val="24"/>
          <w:szCs w:val="24"/>
        </w:rPr>
        <w:t>, Exchange Act</w:t>
      </w:r>
      <w:r w:rsidRPr="000225CC">
        <w:rPr>
          <w:rFonts w:ascii="Times New Roman" w:hAnsi="Times New Roman" w:cs="Times New Roman"/>
          <w:sz w:val="24"/>
          <w:szCs w:val="24"/>
        </w:rPr>
        <w:t xml:space="preserve"> and </w:t>
      </w:r>
      <w:r>
        <w:rPr>
          <w:rFonts w:ascii="Times New Roman" w:hAnsi="Times New Roman" w:cs="Times New Roman"/>
          <w:sz w:val="24"/>
          <w:szCs w:val="24"/>
        </w:rPr>
        <w:t xml:space="preserve">associated </w:t>
      </w:r>
      <w:r w:rsidRPr="000225CC">
        <w:rPr>
          <w:rFonts w:ascii="Times New Roman" w:hAnsi="Times New Roman" w:cs="Times New Roman"/>
          <w:sz w:val="24"/>
          <w:szCs w:val="24"/>
        </w:rPr>
        <w:t xml:space="preserve">regulations apply to any </w:t>
      </w:r>
      <w:r>
        <w:rPr>
          <w:rFonts w:ascii="Times New Roman" w:hAnsi="Times New Roman" w:cs="Times New Roman"/>
          <w:sz w:val="24"/>
          <w:szCs w:val="24"/>
        </w:rPr>
        <w:t xml:space="preserve">offer and </w:t>
      </w:r>
      <w:r w:rsidRPr="000225CC">
        <w:rPr>
          <w:rFonts w:ascii="Times New Roman" w:hAnsi="Times New Roman" w:cs="Times New Roman"/>
          <w:sz w:val="24"/>
          <w:szCs w:val="24"/>
        </w:rPr>
        <w:t xml:space="preserve">sale of securities, whether to </w:t>
      </w:r>
      <w:r>
        <w:rPr>
          <w:rFonts w:ascii="Times New Roman" w:hAnsi="Times New Roman" w:cs="Times New Roman"/>
          <w:sz w:val="24"/>
          <w:szCs w:val="24"/>
        </w:rPr>
        <w:t>Accredited Investor</w:t>
      </w:r>
      <w:r w:rsidRPr="000225CC">
        <w:rPr>
          <w:rFonts w:ascii="Times New Roman" w:hAnsi="Times New Roman" w:cs="Times New Roman"/>
          <w:sz w:val="24"/>
          <w:szCs w:val="24"/>
        </w:rPr>
        <w:t xml:space="preserve">s or </w:t>
      </w:r>
      <w:r>
        <w:rPr>
          <w:rFonts w:ascii="Times New Roman" w:hAnsi="Times New Roman" w:cs="Times New Roman"/>
          <w:sz w:val="24"/>
          <w:szCs w:val="24"/>
        </w:rPr>
        <w:t>non-accredited investor</w:t>
      </w:r>
      <w:r w:rsidRPr="000225CC">
        <w:rPr>
          <w:rFonts w:ascii="Times New Roman" w:hAnsi="Times New Roman" w:cs="Times New Roman"/>
          <w:sz w:val="24"/>
          <w:szCs w:val="24"/>
        </w:rPr>
        <w:t>s</w:t>
      </w:r>
      <w:r>
        <w:rPr>
          <w:rFonts w:ascii="Times New Roman" w:hAnsi="Times New Roman" w:cs="Times New Roman"/>
          <w:sz w:val="24"/>
          <w:szCs w:val="24"/>
        </w:rPr>
        <w:t>, and whether exempt from registration or not</w:t>
      </w:r>
      <w:r w:rsidRPr="000225CC">
        <w:rPr>
          <w:rFonts w:ascii="Times New Roman" w:hAnsi="Times New Roman" w:cs="Times New Roman"/>
          <w:sz w:val="24"/>
          <w:szCs w:val="24"/>
        </w:rPr>
        <w:t xml:space="preserve">.  Fraud can occur by the </w:t>
      </w:r>
      <w:r w:rsidRPr="000225CC">
        <w:rPr>
          <w:rFonts w:ascii="Times New Roman" w:hAnsi="Times New Roman" w:cs="Times New Roman"/>
          <w:sz w:val="24"/>
          <w:szCs w:val="24"/>
        </w:rPr>
        <w:lastRenderedPageBreak/>
        <w:t xml:space="preserve">misrepresentation of material facts that a purchaser relies upon to its detriment in its decision to purchase the securities, </w:t>
      </w:r>
      <w:r w:rsidRPr="000225CC">
        <w:rPr>
          <w:rFonts w:ascii="Times New Roman" w:hAnsi="Times New Roman" w:cs="Times New Roman"/>
          <w:i/>
          <w:sz w:val="24"/>
          <w:szCs w:val="24"/>
        </w:rPr>
        <w:t>or by the omission to state material facts.</w:t>
      </w:r>
      <w:r w:rsidRPr="000225CC">
        <w:rPr>
          <w:rFonts w:ascii="Times New Roman" w:hAnsi="Times New Roman" w:cs="Times New Roman"/>
          <w:sz w:val="24"/>
          <w:szCs w:val="24"/>
        </w:rPr>
        <w:t xml:space="preserve">  For this reason, even in sales to only </w:t>
      </w:r>
      <w:r>
        <w:rPr>
          <w:rFonts w:ascii="Times New Roman" w:hAnsi="Times New Roman" w:cs="Times New Roman"/>
          <w:sz w:val="24"/>
          <w:szCs w:val="24"/>
        </w:rPr>
        <w:t>Accredited Investor</w:t>
      </w:r>
      <w:r w:rsidRPr="000225CC">
        <w:rPr>
          <w:rFonts w:ascii="Times New Roman" w:hAnsi="Times New Roman" w:cs="Times New Roman"/>
          <w:sz w:val="24"/>
          <w:szCs w:val="24"/>
        </w:rPr>
        <w:t xml:space="preserve">s, it is </w:t>
      </w:r>
      <w:r>
        <w:rPr>
          <w:rFonts w:ascii="Times New Roman" w:hAnsi="Times New Roman" w:cs="Times New Roman"/>
          <w:sz w:val="24"/>
          <w:szCs w:val="24"/>
        </w:rPr>
        <w:t>sound practice</w:t>
      </w:r>
      <w:r w:rsidRPr="000225CC">
        <w:rPr>
          <w:rFonts w:ascii="Times New Roman" w:hAnsi="Times New Roman" w:cs="Times New Roman"/>
          <w:sz w:val="24"/>
          <w:szCs w:val="24"/>
        </w:rPr>
        <w:t xml:space="preserve"> to provide some form of </w:t>
      </w:r>
      <w:r>
        <w:rPr>
          <w:rFonts w:ascii="Times New Roman" w:hAnsi="Times New Roman" w:cs="Times New Roman"/>
          <w:sz w:val="24"/>
          <w:szCs w:val="24"/>
        </w:rPr>
        <w:t>PPM</w:t>
      </w:r>
      <w:r w:rsidRPr="000225CC">
        <w:rPr>
          <w:rFonts w:ascii="Times New Roman" w:hAnsi="Times New Roman" w:cs="Times New Roman"/>
          <w:sz w:val="24"/>
          <w:szCs w:val="24"/>
        </w:rPr>
        <w:t xml:space="preserve"> to memorialize what was represented about the securities being sold and what was not.  </w:t>
      </w:r>
      <w:r>
        <w:rPr>
          <w:rFonts w:ascii="Times New Roman" w:hAnsi="Times New Roman" w:cs="Times New Roman"/>
          <w:sz w:val="24"/>
          <w:szCs w:val="24"/>
        </w:rPr>
        <w:t xml:space="preserve">Inadvertent technical errors in the securities offering process can often be fixed.  Fraud cannot.  </w:t>
      </w:r>
      <w:r w:rsidRPr="000225CC">
        <w:rPr>
          <w:rFonts w:ascii="Times New Roman" w:hAnsi="Times New Roman" w:cs="Times New Roman"/>
          <w:sz w:val="24"/>
          <w:szCs w:val="24"/>
        </w:rPr>
        <w:t>Don’t commit fraud.</w:t>
      </w:r>
    </w:p>
    <w:p w:rsidR="00096552" w:rsidRDefault="00096552" w:rsidP="00096552">
      <w:pPr>
        <w:widowControl w:val="0"/>
        <w:tabs>
          <w:tab w:val="left" w:pos="220"/>
          <w:tab w:val="left" w:pos="720"/>
        </w:tabs>
        <w:autoSpaceDE w:val="0"/>
        <w:autoSpaceDN w:val="0"/>
        <w:adjustRightInd w:val="0"/>
        <w:jc w:val="both"/>
        <w:rPr>
          <w:rFonts w:ascii="Times New Roman" w:hAnsi="Times New Roman"/>
          <w:sz w:val="24"/>
        </w:rPr>
      </w:pP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p>
    <w:p w:rsidR="00096552" w:rsidRDefault="00096552" w:rsidP="00096552">
      <w:pPr>
        <w:widowControl w:val="0"/>
        <w:tabs>
          <w:tab w:val="left" w:pos="220"/>
          <w:tab w:val="left" w:pos="720"/>
        </w:tabs>
        <w:autoSpaceDE w:val="0"/>
        <w:autoSpaceDN w:val="0"/>
        <w:adjustRightInd w:val="0"/>
        <w:jc w:val="both"/>
        <w:rPr>
          <w:rFonts w:ascii="Times New Roman" w:hAnsi="Times New Roman"/>
          <w:sz w:val="24"/>
        </w:rPr>
      </w:pPr>
    </w:p>
    <w:p w:rsidR="00096552" w:rsidRPr="000225CC" w:rsidRDefault="00096552" w:rsidP="00096552">
      <w:pPr>
        <w:widowControl w:val="0"/>
        <w:tabs>
          <w:tab w:val="left" w:pos="220"/>
          <w:tab w:val="left" w:pos="720"/>
        </w:tabs>
        <w:autoSpaceDE w:val="0"/>
        <w:autoSpaceDN w:val="0"/>
        <w:adjustRightInd w:val="0"/>
        <w:jc w:val="both"/>
        <w:rPr>
          <w:rFonts w:ascii="Times New Roman" w:hAnsi="Times New Roman"/>
          <w:sz w:val="24"/>
        </w:rPr>
      </w:pPr>
    </w:p>
    <w:p w:rsidR="00096552" w:rsidRPr="000225CC" w:rsidRDefault="00096552" w:rsidP="00096552">
      <w:pPr>
        <w:widowControl w:val="0"/>
        <w:tabs>
          <w:tab w:val="left" w:pos="220"/>
          <w:tab w:val="left" w:pos="720"/>
        </w:tabs>
        <w:autoSpaceDE w:val="0"/>
        <w:autoSpaceDN w:val="0"/>
        <w:adjustRightInd w:val="0"/>
        <w:jc w:val="both"/>
        <w:rPr>
          <w:rFonts w:ascii="Times New Roman" w:hAnsi="Times New Roman"/>
          <w:sz w:val="24"/>
        </w:rPr>
      </w:pP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r>
      <w:r w:rsidRPr="000225CC">
        <w:rPr>
          <w:rFonts w:ascii="Times New Roman" w:hAnsi="Times New Roman"/>
          <w:sz w:val="24"/>
        </w:rPr>
        <w:tab/>
        <w:t>Owen D. Kurtin</w:t>
      </w: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Default="00A11CAB" w:rsidP="00A11CAB">
      <w:pPr>
        <w:jc w:val="both"/>
        <w:rPr>
          <w:rFonts w:ascii="Times New Roman" w:hAnsi="Times New Roman"/>
          <w:bCs/>
          <w:color w:val="3C3E40"/>
          <w:sz w:val="20"/>
          <w:szCs w:val="20"/>
        </w:rPr>
      </w:pPr>
    </w:p>
    <w:p w:rsidR="00A11CAB" w:rsidRPr="00BC64AB" w:rsidRDefault="00A11CAB" w:rsidP="00A11CAB">
      <w:pPr>
        <w:jc w:val="both"/>
        <w:rPr>
          <w:rFonts w:ascii="Times New Roman" w:hAnsi="Times New Roman"/>
          <w:color w:val="3C3E40"/>
          <w:sz w:val="20"/>
          <w:szCs w:val="20"/>
        </w:rPr>
      </w:pPr>
      <w:r w:rsidRPr="00BC64AB">
        <w:rPr>
          <w:rFonts w:ascii="Times New Roman" w:hAnsi="Times New Roman"/>
          <w:bCs/>
          <w:color w:val="3C3E40"/>
          <w:sz w:val="20"/>
          <w:szCs w:val="20"/>
        </w:rPr>
        <w:t>Kurtin PLLC</w:t>
      </w:r>
      <w:r w:rsidRPr="00BC64AB">
        <w:rPr>
          <w:rFonts w:ascii="Times New Roman" w:hAnsi="Times New Roman"/>
          <w:color w:val="3C3E40"/>
          <w:sz w:val="20"/>
          <w:szCs w:val="20"/>
        </w:rPr>
        <w:t xml:space="preserve"> is a New York City-based law firm focused on corporate, commercial and regulatory representation in the Biotechnology &amp; Life Sciences, Communications &amp; Media, Information Technologies and Satellites &amp; Space sectors. For further information, please see our website at </w:t>
      </w:r>
      <w:hyperlink r:id="rId9" w:history="1">
        <w:r w:rsidRPr="00BC64AB">
          <w:rPr>
            <w:rFonts w:ascii="Times New Roman" w:hAnsi="Times New Roman"/>
            <w:color w:val="784FBF"/>
            <w:sz w:val="20"/>
            <w:szCs w:val="20"/>
          </w:rPr>
          <w:t>www.kurtinlaw.com</w:t>
        </w:r>
      </w:hyperlink>
      <w:r w:rsidRPr="00BC64AB">
        <w:rPr>
          <w:rFonts w:ascii="Times New Roman" w:hAnsi="Times New Roman"/>
          <w:color w:val="3C3E40"/>
          <w:sz w:val="20"/>
          <w:szCs w:val="20"/>
        </w:rPr>
        <w:t xml:space="preserve"> and contact </w:t>
      </w:r>
      <w:hyperlink r:id="rId10" w:history="1">
        <w:r w:rsidRPr="00BC64AB">
          <w:rPr>
            <w:rStyle w:val="Hyperlink"/>
            <w:rFonts w:ascii="Times New Roman" w:hAnsi="Times New Roman"/>
            <w:sz w:val="20"/>
            <w:szCs w:val="20"/>
          </w:rPr>
          <w:t>info@kurtinlaw.com</w:t>
        </w:r>
      </w:hyperlink>
      <w:r w:rsidRPr="00BC64AB">
        <w:rPr>
          <w:rFonts w:ascii="Times New Roman" w:hAnsi="Times New Roman"/>
          <w:color w:val="3C3E40"/>
          <w:sz w:val="20"/>
          <w:szCs w:val="20"/>
        </w:rPr>
        <w:t>.</w:t>
      </w:r>
    </w:p>
    <w:p w:rsidR="00A11CAB" w:rsidRPr="00BC64AB" w:rsidRDefault="00A11CAB" w:rsidP="00A11CAB">
      <w:pPr>
        <w:jc w:val="both"/>
        <w:rPr>
          <w:rFonts w:ascii="Times New Roman" w:hAnsi="Times New Roman"/>
          <w:color w:val="3C3E40"/>
          <w:sz w:val="20"/>
          <w:szCs w:val="20"/>
        </w:rPr>
      </w:pPr>
    </w:p>
    <w:p w:rsidR="00A11CAB" w:rsidRPr="00BC64AB" w:rsidRDefault="00A11CAB" w:rsidP="00A11CAB">
      <w:pPr>
        <w:jc w:val="both"/>
        <w:rPr>
          <w:rFonts w:ascii="Times New Roman" w:hAnsi="Times New Roman"/>
          <w:color w:val="343434"/>
          <w:sz w:val="20"/>
          <w:szCs w:val="20"/>
        </w:rPr>
      </w:pPr>
      <w:r w:rsidRPr="00BC64AB">
        <w:rPr>
          <w:rFonts w:ascii="Times New Roman" w:hAnsi="Times New Roman"/>
          <w:color w:val="343434"/>
          <w:sz w:val="20"/>
          <w:szCs w:val="20"/>
        </w:rPr>
        <w:t>The materials contained in this advisory have been prepared for general informational purposes only and should not be construed or relied upon as legal advice or a legal opinion on any specific facts and circumstances. The publication and dissemination, including on-line, of these materials and receipt, review, response to or other use of them does not create or constitute an attorney-client relationship.</w:t>
      </w:r>
    </w:p>
    <w:p w:rsidR="00A11CAB" w:rsidRPr="00BC64AB" w:rsidRDefault="00A11CAB" w:rsidP="00A11CAB">
      <w:pPr>
        <w:jc w:val="both"/>
        <w:rPr>
          <w:rFonts w:ascii="Times New Roman" w:hAnsi="Times New Roman"/>
          <w:color w:val="343434"/>
          <w:sz w:val="20"/>
          <w:szCs w:val="20"/>
        </w:rPr>
      </w:pPr>
    </w:p>
    <w:p w:rsidR="00A11CAB" w:rsidRPr="00BC64AB" w:rsidRDefault="00A11CAB" w:rsidP="00A11CAB">
      <w:pPr>
        <w:jc w:val="both"/>
        <w:rPr>
          <w:rFonts w:ascii="Times New Roman" w:hAnsi="Times New Roman"/>
          <w:color w:val="343434"/>
          <w:sz w:val="20"/>
          <w:szCs w:val="20"/>
        </w:rPr>
      </w:pPr>
      <w:r w:rsidRPr="00BC64AB">
        <w:rPr>
          <w:rFonts w:ascii="Times New Roman" w:hAnsi="Times New Roman"/>
          <w:color w:val="343434"/>
          <w:sz w:val="20"/>
          <w:szCs w:val="20"/>
        </w:rPr>
        <w:t>To ensure compliance with requirements imposed by the Internal Revenue Service, we inform you that any tax advice contained in this communication (including any attachments) was not intended or written to be used, and cannot be used, for the purpose of (i) avoiding tax-related penalties under the Internal Revenue Code or (ii) promoting, marketing or recommending to another party any tax-related matter(s) addressed herein.</w:t>
      </w:r>
    </w:p>
    <w:p w:rsidR="00A11CAB" w:rsidRPr="00BC64AB" w:rsidRDefault="00A11CAB" w:rsidP="00A11CAB">
      <w:pPr>
        <w:jc w:val="both"/>
        <w:rPr>
          <w:rFonts w:ascii="Times New Roman" w:hAnsi="Times New Roman"/>
          <w:color w:val="343434"/>
          <w:sz w:val="20"/>
          <w:szCs w:val="20"/>
        </w:rPr>
      </w:pPr>
    </w:p>
    <w:p w:rsidR="00A11CAB" w:rsidRPr="00BC64AB" w:rsidRDefault="00A11CAB" w:rsidP="00A11CAB">
      <w:pPr>
        <w:jc w:val="both"/>
        <w:rPr>
          <w:rFonts w:ascii="Times New Roman" w:hAnsi="Times New Roman"/>
          <w:color w:val="343434"/>
          <w:sz w:val="20"/>
          <w:szCs w:val="20"/>
        </w:rPr>
      </w:pPr>
      <w:r w:rsidRPr="00BC64AB">
        <w:rPr>
          <w:rFonts w:ascii="Times New Roman" w:hAnsi="Times New Roman"/>
          <w:color w:val="343434"/>
          <w:sz w:val="20"/>
          <w:szCs w:val="20"/>
        </w:rPr>
        <w:t>These materials may contain attorney advertising.  Prior results do not guarantee a similar outcome.</w:t>
      </w:r>
    </w:p>
    <w:p w:rsidR="00A11CAB" w:rsidRPr="00BC64AB" w:rsidRDefault="00A11CAB" w:rsidP="00A11CAB">
      <w:pPr>
        <w:jc w:val="both"/>
        <w:rPr>
          <w:rFonts w:ascii="Times New Roman" w:hAnsi="Times New Roman"/>
          <w:color w:val="343434"/>
          <w:sz w:val="20"/>
          <w:szCs w:val="20"/>
        </w:rPr>
      </w:pPr>
    </w:p>
    <w:p w:rsidR="00096552" w:rsidRPr="00A11CAB" w:rsidRDefault="00A11CAB" w:rsidP="00096552">
      <w:r w:rsidRPr="00BC64AB">
        <w:rPr>
          <w:rFonts w:ascii="Times New Roman" w:hAnsi="Times New Roman"/>
          <w:color w:val="343434"/>
          <w:sz w:val="20"/>
          <w:szCs w:val="20"/>
        </w:rPr>
        <w:t xml:space="preserve">Copyright © Kurtin PLLC </w:t>
      </w:r>
      <w:r>
        <w:rPr>
          <w:rFonts w:ascii="Times New Roman" w:hAnsi="Times New Roman"/>
          <w:color w:val="343434"/>
          <w:sz w:val="20"/>
          <w:szCs w:val="20"/>
        </w:rPr>
        <w:t>2016-</w:t>
      </w:r>
      <w:r w:rsidRPr="00BC64AB">
        <w:rPr>
          <w:rFonts w:ascii="Times New Roman" w:hAnsi="Times New Roman"/>
          <w:color w:val="343434"/>
          <w:sz w:val="20"/>
          <w:szCs w:val="20"/>
        </w:rPr>
        <w:t>201</w:t>
      </w:r>
      <w:r>
        <w:rPr>
          <w:rFonts w:ascii="Times New Roman" w:hAnsi="Times New Roman"/>
          <w:color w:val="343434"/>
          <w:sz w:val="20"/>
          <w:szCs w:val="20"/>
        </w:rPr>
        <w:t>8.</w:t>
      </w:r>
      <w:r w:rsidRPr="00BC64AB">
        <w:rPr>
          <w:rFonts w:ascii="Times New Roman" w:hAnsi="Times New Roman"/>
          <w:color w:val="343434"/>
          <w:sz w:val="20"/>
          <w:szCs w:val="20"/>
        </w:rPr>
        <w:t xml:space="preserve">  All Rights Reserved</w:t>
      </w:r>
      <w:r>
        <w:rPr>
          <w:rFonts w:ascii="Times New Roman" w:hAnsi="Times New Roman"/>
          <w:color w:val="343434"/>
          <w:sz w:val="20"/>
          <w:szCs w:val="20"/>
        </w:rPr>
        <w:t>.</w:t>
      </w:r>
      <w:r w:rsidR="00096552">
        <w:rPr>
          <w:rFonts w:ascii="Times New Roman" w:hAnsi="Times New Roman"/>
          <w:b/>
          <w:sz w:val="24"/>
        </w:rPr>
        <w:br w:type="page"/>
      </w:r>
    </w:p>
    <w:p w:rsidR="00096552" w:rsidRPr="000225CC" w:rsidRDefault="00096552" w:rsidP="00096552">
      <w:pPr>
        <w:widowControl w:val="0"/>
        <w:tabs>
          <w:tab w:val="left" w:pos="220"/>
          <w:tab w:val="left" w:pos="720"/>
        </w:tabs>
        <w:autoSpaceDE w:val="0"/>
        <w:autoSpaceDN w:val="0"/>
        <w:adjustRightInd w:val="0"/>
        <w:jc w:val="center"/>
        <w:rPr>
          <w:rFonts w:ascii="Times New Roman" w:hAnsi="Times New Roman"/>
          <w:b/>
          <w:sz w:val="24"/>
        </w:rPr>
      </w:pPr>
      <w:r w:rsidRPr="000225CC">
        <w:rPr>
          <w:rFonts w:ascii="Times New Roman" w:hAnsi="Times New Roman"/>
          <w:b/>
          <w:sz w:val="24"/>
        </w:rPr>
        <w:lastRenderedPageBreak/>
        <w:t>Appendix 1</w:t>
      </w:r>
    </w:p>
    <w:p w:rsidR="00096552" w:rsidRPr="000225CC" w:rsidRDefault="00096552" w:rsidP="00096552">
      <w:pPr>
        <w:widowControl w:val="0"/>
        <w:tabs>
          <w:tab w:val="left" w:pos="220"/>
          <w:tab w:val="left" w:pos="720"/>
        </w:tabs>
        <w:autoSpaceDE w:val="0"/>
        <w:autoSpaceDN w:val="0"/>
        <w:adjustRightInd w:val="0"/>
        <w:jc w:val="center"/>
        <w:rPr>
          <w:rFonts w:ascii="Times New Roman" w:hAnsi="Times New Roman"/>
          <w:b/>
          <w:sz w:val="24"/>
        </w:rPr>
      </w:pPr>
      <w:r w:rsidRPr="000225CC">
        <w:rPr>
          <w:rFonts w:ascii="Times New Roman" w:hAnsi="Times New Roman"/>
          <w:b/>
          <w:sz w:val="24"/>
        </w:rPr>
        <w:t>Exemption Chart</w:t>
      </w:r>
    </w:p>
    <w:p w:rsidR="00096552" w:rsidRPr="000225CC" w:rsidRDefault="00096552" w:rsidP="00096552">
      <w:pPr>
        <w:widowControl w:val="0"/>
        <w:autoSpaceDE w:val="0"/>
        <w:autoSpaceDN w:val="0"/>
        <w:adjustRightInd w:val="0"/>
        <w:jc w:val="both"/>
        <w:rPr>
          <w:rFonts w:ascii="Times New Roman" w:hAnsi="Times New Roman"/>
          <w:color w:val="3C3E40"/>
          <w:sz w:val="24"/>
        </w:rPr>
      </w:pPr>
    </w:p>
    <w:p w:rsidR="00096552" w:rsidRDefault="00096552" w:rsidP="00096552">
      <w:pPr>
        <w:rPr>
          <w:rFonts w:ascii="Times New Roman" w:hAnsi="Times New Roman"/>
        </w:rPr>
      </w:pPr>
    </w:p>
    <w:tbl>
      <w:tblPr>
        <w:tblStyle w:val="TableGrid"/>
        <w:tblW w:w="10800" w:type="dxa"/>
        <w:tblInd w:w="18" w:type="dxa"/>
        <w:tblLayout w:type="fixed"/>
        <w:tblLook w:val="04A0" w:firstRow="1" w:lastRow="0" w:firstColumn="1" w:lastColumn="0" w:noHBand="0" w:noVBand="1"/>
      </w:tblPr>
      <w:tblGrid>
        <w:gridCol w:w="1620"/>
        <w:gridCol w:w="1800"/>
        <w:gridCol w:w="1620"/>
        <w:gridCol w:w="1877"/>
        <w:gridCol w:w="1350"/>
        <w:gridCol w:w="1170"/>
        <w:gridCol w:w="1363"/>
      </w:tblGrid>
      <w:tr w:rsidR="00096552" w:rsidTr="009635AF">
        <w:tc>
          <w:tcPr>
            <w:tcW w:w="1620" w:type="dxa"/>
          </w:tcPr>
          <w:p w:rsidR="00096552" w:rsidRPr="00B46656" w:rsidRDefault="00096552" w:rsidP="009635AF">
            <w:pPr>
              <w:rPr>
                <w:rFonts w:ascii="Times New Roman" w:hAnsi="Times New Roman" w:cs="Times New Roman"/>
                <w:sz w:val="20"/>
                <w:szCs w:val="20"/>
              </w:rPr>
            </w:pPr>
            <w:r w:rsidRPr="00B46656">
              <w:rPr>
                <w:rFonts w:ascii="Times New Roman" w:hAnsi="Times New Roman" w:cs="Times New Roman"/>
                <w:sz w:val="20"/>
                <w:szCs w:val="20"/>
              </w:rPr>
              <w:t>Type of Offering</w:t>
            </w:r>
          </w:p>
        </w:tc>
        <w:tc>
          <w:tcPr>
            <w:tcW w:w="1800" w:type="dxa"/>
          </w:tcPr>
          <w:p w:rsidR="00096552" w:rsidRPr="00B46656" w:rsidRDefault="00096552" w:rsidP="009635AF">
            <w:pPr>
              <w:rPr>
                <w:rFonts w:ascii="Times New Roman" w:hAnsi="Times New Roman" w:cs="Times New Roman"/>
                <w:sz w:val="20"/>
                <w:szCs w:val="20"/>
              </w:rPr>
            </w:pPr>
            <w:r w:rsidRPr="00B46656">
              <w:rPr>
                <w:rFonts w:ascii="Times New Roman" w:hAnsi="Times New Roman" w:cs="Times New Roman"/>
                <w:sz w:val="20"/>
                <w:szCs w:val="20"/>
              </w:rPr>
              <w:t>Aggregate Offering Price Limitation</w:t>
            </w:r>
          </w:p>
        </w:tc>
        <w:tc>
          <w:tcPr>
            <w:tcW w:w="1620" w:type="dxa"/>
          </w:tcPr>
          <w:p w:rsidR="00096552" w:rsidRPr="00B46656" w:rsidRDefault="00096552" w:rsidP="009635AF">
            <w:pPr>
              <w:rPr>
                <w:rFonts w:ascii="Times New Roman" w:hAnsi="Times New Roman" w:cs="Times New Roman"/>
                <w:sz w:val="20"/>
                <w:szCs w:val="20"/>
              </w:rPr>
            </w:pPr>
            <w:r w:rsidRPr="00B46656">
              <w:rPr>
                <w:rFonts w:ascii="Times New Roman" w:hAnsi="Times New Roman" w:cs="Times New Roman"/>
                <w:sz w:val="20"/>
                <w:szCs w:val="20"/>
              </w:rPr>
              <w:t>Issuer &amp; Investor Requirements</w:t>
            </w:r>
          </w:p>
        </w:tc>
        <w:tc>
          <w:tcPr>
            <w:tcW w:w="1877" w:type="dxa"/>
          </w:tcPr>
          <w:p w:rsidR="00096552" w:rsidRPr="00B46656" w:rsidRDefault="00096552" w:rsidP="009635AF">
            <w:pPr>
              <w:rPr>
                <w:rFonts w:ascii="Times New Roman" w:hAnsi="Times New Roman" w:cs="Times New Roman"/>
                <w:sz w:val="20"/>
                <w:szCs w:val="20"/>
              </w:rPr>
            </w:pPr>
            <w:r w:rsidRPr="00B46656">
              <w:rPr>
                <w:rFonts w:ascii="Times New Roman" w:hAnsi="Times New Roman" w:cs="Times New Roman"/>
                <w:sz w:val="20"/>
                <w:szCs w:val="20"/>
              </w:rPr>
              <w:t>Limitations on Manner of Offering</w:t>
            </w:r>
          </w:p>
        </w:tc>
        <w:tc>
          <w:tcPr>
            <w:tcW w:w="1350" w:type="dxa"/>
          </w:tcPr>
          <w:p w:rsidR="00096552" w:rsidRPr="00B46656" w:rsidRDefault="00096552" w:rsidP="009635AF">
            <w:pPr>
              <w:rPr>
                <w:rFonts w:ascii="Times New Roman" w:hAnsi="Times New Roman" w:cs="Times New Roman"/>
                <w:sz w:val="20"/>
                <w:szCs w:val="20"/>
              </w:rPr>
            </w:pPr>
            <w:r w:rsidRPr="00B46656">
              <w:rPr>
                <w:rFonts w:ascii="Times New Roman" w:hAnsi="Times New Roman" w:cs="Times New Roman"/>
                <w:sz w:val="20"/>
                <w:szCs w:val="20"/>
              </w:rPr>
              <w:t>SEC and State Filing Requirements</w:t>
            </w:r>
          </w:p>
        </w:tc>
        <w:tc>
          <w:tcPr>
            <w:tcW w:w="1170" w:type="dxa"/>
          </w:tcPr>
          <w:p w:rsidR="00096552" w:rsidRPr="00B46656" w:rsidRDefault="00096552" w:rsidP="009635AF">
            <w:pPr>
              <w:rPr>
                <w:rFonts w:ascii="Times New Roman" w:hAnsi="Times New Roman" w:cs="Times New Roman"/>
                <w:sz w:val="20"/>
                <w:szCs w:val="20"/>
              </w:rPr>
            </w:pPr>
            <w:r w:rsidRPr="00B46656">
              <w:rPr>
                <w:rFonts w:ascii="Times New Roman" w:hAnsi="Times New Roman" w:cs="Times New Roman"/>
                <w:sz w:val="20"/>
                <w:szCs w:val="20"/>
              </w:rPr>
              <w:t>Limitations on Resales</w:t>
            </w:r>
          </w:p>
        </w:tc>
        <w:tc>
          <w:tcPr>
            <w:tcW w:w="1363" w:type="dxa"/>
          </w:tcPr>
          <w:p w:rsidR="00096552" w:rsidRPr="00B46656" w:rsidRDefault="00096552" w:rsidP="009635AF">
            <w:pPr>
              <w:rPr>
                <w:rFonts w:ascii="Times New Roman" w:hAnsi="Times New Roman" w:cs="Times New Roman"/>
                <w:sz w:val="20"/>
                <w:szCs w:val="20"/>
              </w:rPr>
            </w:pPr>
            <w:r w:rsidRPr="00B46656">
              <w:rPr>
                <w:rFonts w:ascii="Times New Roman" w:hAnsi="Times New Roman" w:cs="Times New Roman"/>
                <w:sz w:val="20"/>
                <w:szCs w:val="20"/>
              </w:rPr>
              <w:t>Information Requirements</w:t>
            </w:r>
          </w:p>
        </w:tc>
      </w:tr>
      <w:tr w:rsidR="00096552" w:rsidTr="009635AF">
        <w:tc>
          <w:tcPr>
            <w:tcW w:w="1620" w:type="dxa"/>
          </w:tcPr>
          <w:p w:rsidR="00096552" w:rsidRPr="00AB4AEA" w:rsidRDefault="00096552" w:rsidP="009635AF">
            <w:pPr>
              <w:rPr>
                <w:rFonts w:ascii="Times New Roman" w:hAnsi="Times New Roman" w:cs="Times New Roman"/>
                <w:sz w:val="20"/>
                <w:szCs w:val="20"/>
              </w:rPr>
            </w:pPr>
          </w:p>
        </w:tc>
        <w:tc>
          <w:tcPr>
            <w:tcW w:w="1800" w:type="dxa"/>
          </w:tcPr>
          <w:p w:rsidR="00096552" w:rsidRPr="00AB4AEA" w:rsidRDefault="00096552" w:rsidP="009635AF">
            <w:pPr>
              <w:rPr>
                <w:rFonts w:ascii="Times New Roman" w:hAnsi="Times New Roman" w:cs="Times New Roman"/>
                <w:sz w:val="20"/>
                <w:szCs w:val="20"/>
              </w:rPr>
            </w:pPr>
          </w:p>
        </w:tc>
        <w:tc>
          <w:tcPr>
            <w:tcW w:w="1620" w:type="dxa"/>
          </w:tcPr>
          <w:p w:rsidR="00096552" w:rsidRPr="00AB4AEA" w:rsidRDefault="00096552" w:rsidP="009635AF">
            <w:pPr>
              <w:rPr>
                <w:rFonts w:ascii="Times New Roman" w:hAnsi="Times New Roman" w:cs="Times New Roman"/>
                <w:sz w:val="20"/>
                <w:szCs w:val="20"/>
              </w:rPr>
            </w:pPr>
          </w:p>
        </w:tc>
        <w:tc>
          <w:tcPr>
            <w:tcW w:w="1877" w:type="dxa"/>
          </w:tcPr>
          <w:p w:rsidR="00096552" w:rsidRPr="00AB4AEA" w:rsidRDefault="00096552" w:rsidP="009635AF">
            <w:pPr>
              <w:rPr>
                <w:rFonts w:ascii="Times New Roman" w:hAnsi="Times New Roman" w:cs="Times New Roman"/>
                <w:sz w:val="20"/>
                <w:szCs w:val="20"/>
              </w:rPr>
            </w:pPr>
          </w:p>
        </w:tc>
        <w:tc>
          <w:tcPr>
            <w:tcW w:w="1350" w:type="dxa"/>
          </w:tcPr>
          <w:p w:rsidR="00096552" w:rsidRPr="00AB4AEA" w:rsidRDefault="00096552" w:rsidP="009635AF">
            <w:pPr>
              <w:rPr>
                <w:rFonts w:ascii="Times New Roman" w:hAnsi="Times New Roman" w:cs="Times New Roman"/>
                <w:sz w:val="20"/>
                <w:szCs w:val="20"/>
              </w:rPr>
            </w:pPr>
          </w:p>
        </w:tc>
        <w:tc>
          <w:tcPr>
            <w:tcW w:w="1170" w:type="dxa"/>
          </w:tcPr>
          <w:p w:rsidR="00096552" w:rsidRPr="00AB4AEA" w:rsidRDefault="00096552" w:rsidP="009635AF">
            <w:pPr>
              <w:rPr>
                <w:rFonts w:ascii="Times New Roman" w:hAnsi="Times New Roman" w:cs="Times New Roman"/>
                <w:sz w:val="20"/>
                <w:szCs w:val="20"/>
              </w:rPr>
            </w:pPr>
          </w:p>
        </w:tc>
        <w:tc>
          <w:tcPr>
            <w:tcW w:w="1363" w:type="dxa"/>
          </w:tcPr>
          <w:p w:rsidR="00096552" w:rsidRPr="00AB4AEA" w:rsidRDefault="00096552" w:rsidP="009635AF">
            <w:pPr>
              <w:rPr>
                <w:rFonts w:ascii="Times New Roman" w:hAnsi="Times New Roman" w:cs="Times New Roman"/>
                <w:sz w:val="20"/>
                <w:szCs w:val="20"/>
              </w:rPr>
            </w:pPr>
          </w:p>
        </w:tc>
      </w:tr>
      <w:tr w:rsidR="00A11CAB" w:rsidTr="009635AF">
        <w:tc>
          <w:tcPr>
            <w:tcW w:w="1620" w:type="dxa"/>
          </w:tcPr>
          <w:p w:rsidR="00A11CAB" w:rsidRPr="00AB4AEA" w:rsidRDefault="00A11CAB" w:rsidP="00F52BB1">
            <w:pPr>
              <w:rPr>
                <w:rFonts w:ascii="Times New Roman" w:hAnsi="Times New Roman"/>
                <w:sz w:val="20"/>
                <w:szCs w:val="20"/>
              </w:rPr>
            </w:pPr>
            <w:r>
              <w:rPr>
                <w:rFonts w:ascii="Times New Roman" w:hAnsi="Times New Roman"/>
                <w:sz w:val="20"/>
                <w:szCs w:val="20"/>
              </w:rPr>
              <w:t>Regulation D Rule 506</w:t>
            </w:r>
          </w:p>
        </w:tc>
        <w:tc>
          <w:tcPr>
            <w:tcW w:w="1800" w:type="dxa"/>
          </w:tcPr>
          <w:p w:rsidR="00A11CAB" w:rsidRPr="00AB4AEA" w:rsidRDefault="00A11CAB" w:rsidP="00F52BB1">
            <w:pPr>
              <w:rPr>
                <w:rFonts w:ascii="Times New Roman" w:hAnsi="Times New Roman"/>
                <w:sz w:val="20"/>
                <w:szCs w:val="20"/>
              </w:rPr>
            </w:pPr>
            <w:r>
              <w:rPr>
                <w:rFonts w:ascii="Times New Roman" w:hAnsi="Times New Roman"/>
                <w:sz w:val="20"/>
                <w:szCs w:val="20"/>
              </w:rPr>
              <w:t>None.</w:t>
            </w:r>
          </w:p>
        </w:tc>
        <w:tc>
          <w:tcPr>
            <w:tcW w:w="1620" w:type="dxa"/>
          </w:tcPr>
          <w:p w:rsidR="00A11CAB" w:rsidRDefault="00A11CAB" w:rsidP="00F52BB1">
            <w:pPr>
              <w:rPr>
                <w:rFonts w:ascii="Times New Roman" w:hAnsi="Times New Roman" w:cs="Times New Roman"/>
                <w:sz w:val="20"/>
                <w:szCs w:val="20"/>
              </w:rPr>
            </w:pPr>
            <w:r>
              <w:rPr>
                <w:rFonts w:ascii="Times New Roman" w:hAnsi="Times New Roman" w:cs="Times New Roman"/>
                <w:sz w:val="20"/>
                <w:szCs w:val="20"/>
              </w:rPr>
              <w:t xml:space="preserve">Rule 506(b): unlimited Accredited Investors and up to 35 non-Accredited Investors permitted. </w:t>
            </w:r>
          </w:p>
          <w:p w:rsidR="00A11CAB" w:rsidRDefault="00A11CAB" w:rsidP="00F52BB1">
            <w:pPr>
              <w:rPr>
                <w:rFonts w:ascii="Times New Roman" w:hAnsi="Times New Roman" w:cs="Times New Roman"/>
                <w:sz w:val="20"/>
                <w:szCs w:val="20"/>
              </w:rPr>
            </w:pPr>
          </w:p>
          <w:p w:rsidR="00A11CAB" w:rsidRPr="00AB4AEA" w:rsidRDefault="00A11CAB" w:rsidP="00F52BB1">
            <w:pPr>
              <w:rPr>
                <w:rFonts w:ascii="Times New Roman" w:hAnsi="Times New Roman"/>
                <w:sz w:val="20"/>
                <w:szCs w:val="20"/>
              </w:rPr>
            </w:pPr>
            <w:r>
              <w:rPr>
                <w:rFonts w:ascii="Times New Roman" w:hAnsi="Times New Roman" w:cs="Times New Roman"/>
                <w:sz w:val="20"/>
                <w:szCs w:val="20"/>
              </w:rPr>
              <w:t>Rule 506(c):  all purchasers must be Accredited Investors.</w:t>
            </w:r>
          </w:p>
        </w:tc>
        <w:tc>
          <w:tcPr>
            <w:tcW w:w="1877" w:type="dxa"/>
          </w:tcPr>
          <w:p w:rsidR="00A11CAB" w:rsidRDefault="00A11CAB" w:rsidP="00F52BB1">
            <w:pPr>
              <w:rPr>
                <w:rFonts w:ascii="Times New Roman" w:hAnsi="Times New Roman" w:cs="Times New Roman"/>
                <w:sz w:val="20"/>
                <w:szCs w:val="20"/>
              </w:rPr>
            </w:pPr>
            <w:r>
              <w:rPr>
                <w:rFonts w:ascii="Times New Roman" w:hAnsi="Times New Roman" w:cs="Times New Roman"/>
                <w:sz w:val="20"/>
                <w:szCs w:val="20"/>
              </w:rPr>
              <w:t xml:space="preserve">Rule 506(b):  No general solicitation or advertising permitted.  </w:t>
            </w:r>
          </w:p>
          <w:p w:rsidR="00A11CAB" w:rsidRDefault="00A11CAB" w:rsidP="00F52BB1">
            <w:pPr>
              <w:rPr>
                <w:rFonts w:ascii="Times New Roman" w:hAnsi="Times New Roman" w:cs="Times New Roman"/>
                <w:sz w:val="20"/>
                <w:szCs w:val="20"/>
              </w:rPr>
            </w:pPr>
          </w:p>
          <w:p w:rsidR="00A11CAB" w:rsidRDefault="00A11CAB" w:rsidP="00F52BB1">
            <w:pPr>
              <w:rPr>
                <w:rFonts w:ascii="Times New Roman" w:hAnsi="Times New Roman" w:cs="Times New Roman"/>
                <w:sz w:val="20"/>
                <w:szCs w:val="20"/>
              </w:rPr>
            </w:pPr>
          </w:p>
          <w:p w:rsidR="00A11CAB" w:rsidRDefault="00A11CAB" w:rsidP="00F52BB1">
            <w:pPr>
              <w:rPr>
                <w:rFonts w:ascii="Times New Roman" w:hAnsi="Times New Roman" w:cs="Times New Roman"/>
                <w:sz w:val="20"/>
                <w:szCs w:val="20"/>
              </w:rPr>
            </w:pPr>
          </w:p>
          <w:p w:rsidR="00A11CAB" w:rsidRDefault="00A11CAB" w:rsidP="00F52BB1">
            <w:pPr>
              <w:rPr>
                <w:rFonts w:ascii="Times New Roman" w:hAnsi="Times New Roman" w:cs="Times New Roman"/>
                <w:sz w:val="20"/>
                <w:szCs w:val="20"/>
              </w:rPr>
            </w:pPr>
          </w:p>
          <w:p w:rsidR="00A11CAB" w:rsidRDefault="00A11CAB" w:rsidP="00F52BB1">
            <w:pPr>
              <w:rPr>
                <w:rFonts w:ascii="Times New Roman" w:hAnsi="Times New Roman" w:cs="Times New Roman"/>
                <w:sz w:val="20"/>
                <w:szCs w:val="20"/>
              </w:rPr>
            </w:pPr>
          </w:p>
          <w:p w:rsidR="00A11CAB" w:rsidRPr="00AB4AEA" w:rsidRDefault="00A11CAB" w:rsidP="00F52BB1">
            <w:pPr>
              <w:rPr>
                <w:rFonts w:ascii="Times New Roman" w:hAnsi="Times New Roman"/>
                <w:sz w:val="20"/>
                <w:szCs w:val="20"/>
              </w:rPr>
            </w:pPr>
            <w:r>
              <w:rPr>
                <w:rFonts w:ascii="Times New Roman" w:hAnsi="Times New Roman" w:cs="Times New Roman"/>
                <w:sz w:val="20"/>
                <w:szCs w:val="20"/>
              </w:rPr>
              <w:t>Rule 506(c):  General solicitation and advertising permitted if all purchasers are Accredited Investors.</w:t>
            </w:r>
          </w:p>
        </w:tc>
        <w:tc>
          <w:tcPr>
            <w:tcW w:w="1350" w:type="dxa"/>
          </w:tcPr>
          <w:p w:rsidR="00A11CAB" w:rsidRDefault="00A11CAB" w:rsidP="00F52BB1">
            <w:pPr>
              <w:rPr>
                <w:rFonts w:ascii="Times New Roman" w:hAnsi="Times New Roman" w:cs="Times New Roman"/>
                <w:sz w:val="20"/>
                <w:szCs w:val="20"/>
              </w:rPr>
            </w:pPr>
            <w:r>
              <w:rPr>
                <w:rFonts w:ascii="Times New Roman" w:hAnsi="Times New Roman" w:cs="Times New Roman"/>
                <w:sz w:val="20"/>
                <w:szCs w:val="20"/>
              </w:rPr>
              <w:t xml:space="preserve">SEC:  </w:t>
            </w:r>
            <w:r w:rsidRPr="00B01DEF">
              <w:rPr>
                <w:rFonts w:ascii="Times New Roman" w:hAnsi="Times New Roman" w:cs="Times New Roman"/>
                <w:sz w:val="20"/>
                <w:szCs w:val="20"/>
              </w:rPr>
              <w:t>File Form D not later than 15 days after first sale.  No ongoing reporting.</w:t>
            </w:r>
          </w:p>
          <w:p w:rsidR="00A11CAB" w:rsidRDefault="00A11CAB" w:rsidP="00F52BB1">
            <w:pPr>
              <w:rPr>
                <w:rFonts w:ascii="Times New Roman" w:hAnsi="Times New Roman" w:cs="Times New Roman"/>
                <w:sz w:val="20"/>
                <w:szCs w:val="20"/>
              </w:rPr>
            </w:pPr>
          </w:p>
          <w:p w:rsidR="00A11CAB" w:rsidRPr="00AB4AEA" w:rsidRDefault="00A11CAB" w:rsidP="00F52BB1">
            <w:pPr>
              <w:rPr>
                <w:rFonts w:ascii="Times New Roman" w:hAnsi="Times New Roman"/>
                <w:sz w:val="20"/>
                <w:szCs w:val="20"/>
              </w:rPr>
            </w:pPr>
            <w:r>
              <w:rPr>
                <w:rFonts w:ascii="Times New Roman" w:hAnsi="Times New Roman" w:cs="Times New Roman"/>
                <w:sz w:val="20"/>
                <w:szCs w:val="20"/>
              </w:rPr>
              <w:t>State:  Exempt as “Covered Security” pursuant to Securities Act s. 18.</w:t>
            </w:r>
          </w:p>
        </w:tc>
        <w:tc>
          <w:tcPr>
            <w:tcW w:w="1170" w:type="dxa"/>
          </w:tcPr>
          <w:p w:rsidR="00A11CAB" w:rsidRPr="00AB4AEA" w:rsidRDefault="00A11CAB" w:rsidP="00F52BB1">
            <w:pPr>
              <w:rPr>
                <w:rFonts w:ascii="Times New Roman" w:hAnsi="Times New Roman"/>
                <w:sz w:val="20"/>
                <w:szCs w:val="20"/>
              </w:rPr>
            </w:pPr>
            <w:r>
              <w:rPr>
                <w:rFonts w:ascii="Times New Roman" w:hAnsi="Times New Roman"/>
                <w:sz w:val="20"/>
                <w:szCs w:val="20"/>
              </w:rPr>
              <w:t xml:space="preserve">Restricted Securities </w:t>
            </w:r>
            <w:r w:rsidRPr="00AA5077">
              <w:rPr>
                <w:rFonts w:ascii="Times New Roman" w:hAnsi="Times New Roman" w:cs="Times New Roman"/>
                <w:sz w:val="20"/>
                <w:szCs w:val="20"/>
              </w:rPr>
              <w:t>that can only be sold if registered or with a resale exemption</w:t>
            </w:r>
            <w:r>
              <w:rPr>
                <w:rFonts w:ascii="Times New Roman" w:hAnsi="Times New Roman"/>
                <w:sz w:val="20"/>
                <w:szCs w:val="20"/>
              </w:rPr>
              <w:t>.</w:t>
            </w:r>
          </w:p>
        </w:tc>
        <w:tc>
          <w:tcPr>
            <w:tcW w:w="1363" w:type="dxa"/>
          </w:tcPr>
          <w:p w:rsidR="00A11CAB" w:rsidRPr="008C67E4" w:rsidRDefault="00A11CAB" w:rsidP="00F52BB1">
            <w:pPr>
              <w:rPr>
                <w:rFonts w:ascii="Times New Roman" w:hAnsi="Times New Roman" w:cs="Times New Roman"/>
                <w:sz w:val="20"/>
                <w:szCs w:val="20"/>
              </w:rPr>
            </w:pPr>
            <w:r w:rsidRPr="008E0095">
              <w:rPr>
                <w:rFonts w:ascii="Times New Roman" w:hAnsi="Times New Roman" w:cs="Times New Roman"/>
                <w:sz w:val="20"/>
                <w:szCs w:val="20"/>
              </w:rPr>
              <w:t>N</w:t>
            </w:r>
            <w:r>
              <w:rPr>
                <w:rFonts w:ascii="Times New Roman" w:hAnsi="Times New Roman" w:cs="Times New Roman"/>
                <w:sz w:val="20"/>
                <w:szCs w:val="20"/>
              </w:rPr>
              <w:t>o information requirements for</w:t>
            </w:r>
            <w:r w:rsidRPr="008E0095">
              <w:rPr>
                <w:rFonts w:ascii="Times New Roman" w:hAnsi="Times New Roman" w:cs="Times New Roman"/>
                <w:sz w:val="20"/>
                <w:szCs w:val="20"/>
              </w:rPr>
              <w:t xml:space="preserve"> only </w:t>
            </w:r>
            <w:r>
              <w:rPr>
                <w:rFonts w:ascii="Times New Roman" w:hAnsi="Times New Roman" w:cs="Times New Roman"/>
                <w:sz w:val="20"/>
                <w:szCs w:val="20"/>
              </w:rPr>
              <w:t>Accredited Investors</w:t>
            </w:r>
            <w:r w:rsidRPr="008E0095">
              <w:rPr>
                <w:rFonts w:ascii="Times New Roman" w:hAnsi="Times New Roman" w:cs="Times New Roman"/>
                <w:sz w:val="20"/>
                <w:szCs w:val="20"/>
              </w:rPr>
              <w:t>; if any non-</w:t>
            </w:r>
            <w:r>
              <w:rPr>
                <w:rFonts w:ascii="Times New Roman" w:hAnsi="Times New Roman" w:cs="Times New Roman"/>
                <w:sz w:val="20"/>
                <w:szCs w:val="20"/>
              </w:rPr>
              <w:t>accredited investor</w:t>
            </w:r>
            <w:r w:rsidRPr="008E0095">
              <w:rPr>
                <w:rFonts w:ascii="Times New Roman" w:hAnsi="Times New Roman" w:cs="Times New Roman"/>
                <w:sz w:val="20"/>
                <w:szCs w:val="20"/>
              </w:rPr>
              <w:t>s are sold to under Rule 506(b)</w:t>
            </w:r>
            <w:r>
              <w:rPr>
                <w:rFonts w:ascii="Times New Roman" w:hAnsi="Times New Roman" w:cs="Times New Roman"/>
                <w:sz w:val="20"/>
                <w:szCs w:val="20"/>
              </w:rPr>
              <w:t xml:space="preserve">, must furnish </w:t>
            </w:r>
            <w:r w:rsidRPr="008E0095">
              <w:rPr>
                <w:rFonts w:ascii="Times New Roman" w:hAnsi="Times New Roman" w:cs="Times New Roman"/>
                <w:sz w:val="20"/>
                <w:szCs w:val="20"/>
              </w:rPr>
              <w:t xml:space="preserve">a </w:t>
            </w:r>
            <w:r>
              <w:rPr>
                <w:rFonts w:ascii="Times New Roman" w:hAnsi="Times New Roman" w:cs="Times New Roman"/>
                <w:sz w:val="20"/>
                <w:szCs w:val="20"/>
              </w:rPr>
              <w:t>PPM per Rule 502</w:t>
            </w:r>
            <w:r w:rsidRPr="008E0095">
              <w:rPr>
                <w:rFonts w:ascii="Times New Roman" w:hAnsi="Times New Roman" w:cs="Times New Roman"/>
                <w:sz w:val="20"/>
                <w:szCs w:val="20"/>
              </w:rPr>
              <w:t xml:space="preserve">.  </w:t>
            </w:r>
          </w:p>
        </w:tc>
      </w:tr>
      <w:tr w:rsidR="00A11CAB" w:rsidTr="009635AF">
        <w:tc>
          <w:tcPr>
            <w:tcW w:w="1620" w:type="dxa"/>
          </w:tcPr>
          <w:p w:rsidR="00A11CAB" w:rsidRPr="00AB4AEA" w:rsidRDefault="00A11CAB" w:rsidP="009635AF">
            <w:pPr>
              <w:rPr>
                <w:rFonts w:ascii="Times New Roman" w:hAnsi="Times New Roman"/>
                <w:sz w:val="20"/>
                <w:szCs w:val="20"/>
              </w:rPr>
            </w:pPr>
          </w:p>
        </w:tc>
        <w:tc>
          <w:tcPr>
            <w:tcW w:w="1800" w:type="dxa"/>
          </w:tcPr>
          <w:p w:rsidR="00A11CAB" w:rsidRPr="00AB4AEA" w:rsidRDefault="00A11CAB" w:rsidP="009635AF">
            <w:pPr>
              <w:rPr>
                <w:rFonts w:ascii="Times New Roman" w:hAnsi="Times New Roman"/>
                <w:sz w:val="20"/>
                <w:szCs w:val="20"/>
              </w:rPr>
            </w:pPr>
          </w:p>
        </w:tc>
        <w:tc>
          <w:tcPr>
            <w:tcW w:w="1620" w:type="dxa"/>
          </w:tcPr>
          <w:p w:rsidR="00A11CAB" w:rsidRPr="00AB4AEA" w:rsidRDefault="00A11CAB" w:rsidP="009635AF">
            <w:pPr>
              <w:rPr>
                <w:rFonts w:ascii="Times New Roman" w:hAnsi="Times New Roman"/>
                <w:sz w:val="20"/>
                <w:szCs w:val="20"/>
              </w:rPr>
            </w:pPr>
          </w:p>
        </w:tc>
        <w:tc>
          <w:tcPr>
            <w:tcW w:w="1877" w:type="dxa"/>
          </w:tcPr>
          <w:p w:rsidR="00A11CAB" w:rsidRPr="00AB4AEA" w:rsidRDefault="00A11CAB" w:rsidP="009635AF">
            <w:pPr>
              <w:rPr>
                <w:rFonts w:ascii="Times New Roman" w:hAnsi="Times New Roman"/>
                <w:sz w:val="20"/>
                <w:szCs w:val="20"/>
              </w:rPr>
            </w:pPr>
          </w:p>
        </w:tc>
        <w:tc>
          <w:tcPr>
            <w:tcW w:w="1350" w:type="dxa"/>
          </w:tcPr>
          <w:p w:rsidR="00A11CAB" w:rsidRPr="00AB4AEA" w:rsidRDefault="00A11CAB" w:rsidP="009635AF">
            <w:pPr>
              <w:rPr>
                <w:rFonts w:ascii="Times New Roman" w:hAnsi="Times New Roman"/>
                <w:sz w:val="20"/>
                <w:szCs w:val="20"/>
              </w:rPr>
            </w:pPr>
          </w:p>
        </w:tc>
        <w:tc>
          <w:tcPr>
            <w:tcW w:w="1170" w:type="dxa"/>
          </w:tcPr>
          <w:p w:rsidR="00A11CAB" w:rsidRPr="00AB4AEA" w:rsidRDefault="00A11CAB" w:rsidP="009635AF">
            <w:pPr>
              <w:rPr>
                <w:rFonts w:ascii="Times New Roman" w:hAnsi="Times New Roman"/>
                <w:sz w:val="20"/>
                <w:szCs w:val="20"/>
              </w:rPr>
            </w:pPr>
          </w:p>
        </w:tc>
        <w:tc>
          <w:tcPr>
            <w:tcW w:w="1363" w:type="dxa"/>
          </w:tcPr>
          <w:p w:rsidR="00A11CAB" w:rsidRPr="00AB4AEA" w:rsidRDefault="00A11CAB" w:rsidP="009635AF">
            <w:pPr>
              <w:rPr>
                <w:rFonts w:ascii="Times New Roman" w:hAnsi="Times New Roman"/>
                <w:sz w:val="20"/>
                <w:szCs w:val="20"/>
              </w:rPr>
            </w:pPr>
          </w:p>
        </w:tc>
      </w:tr>
      <w:tr w:rsidR="00A11CAB" w:rsidTr="009635AF">
        <w:tc>
          <w:tcPr>
            <w:tcW w:w="1620" w:type="dxa"/>
          </w:tcPr>
          <w:p w:rsidR="00A11CAB" w:rsidRDefault="00A11CAB" w:rsidP="009635AF">
            <w:pPr>
              <w:rPr>
                <w:rFonts w:ascii="Times New Roman" w:hAnsi="Times New Roman"/>
                <w:sz w:val="20"/>
                <w:szCs w:val="20"/>
              </w:rPr>
            </w:pPr>
            <w:r>
              <w:rPr>
                <w:rFonts w:ascii="Times New Roman" w:hAnsi="Times New Roman"/>
                <w:sz w:val="20"/>
                <w:szCs w:val="20"/>
              </w:rPr>
              <w:t xml:space="preserve">Regulation D </w:t>
            </w:r>
          </w:p>
          <w:p w:rsidR="00A11CAB" w:rsidRDefault="00A11CAB" w:rsidP="009635AF">
            <w:pPr>
              <w:rPr>
                <w:rFonts w:ascii="Times New Roman" w:hAnsi="Times New Roman"/>
                <w:sz w:val="20"/>
                <w:szCs w:val="20"/>
              </w:rPr>
            </w:pPr>
            <w:r>
              <w:rPr>
                <w:rFonts w:ascii="Times New Roman" w:hAnsi="Times New Roman"/>
                <w:sz w:val="20"/>
                <w:szCs w:val="20"/>
              </w:rPr>
              <w:t>Rule504</w:t>
            </w:r>
          </w:p>
          <w:p w:rsidR="00A11CAB" w:rsidRDefault="00A11CAB" w:rsidP="009635AF">
            <w:pPr>
              <w:rPr>
                <w:rFonts w:ascii="Times New Roman" w:hAnsi="Times New Roman"/>
                <w:sz w:val="20"/>
                <w:szCs w:val="20"/>
              </w:rPr>
            </w:pPr>
          </w:p>
          <w:p w:rsidR="00A11CAB" w:rsidRDefault="00A11CAB" w:rsidP="009635AF">
            <w:pPr>
              <w:rPr>
                <w:rFonts w:ascii="Times New Roman" w:hAnsi="Times New Roman"/>
                <w:sz w:val="20"/>
                <w:szCs w:val="20"/>
              </w:rPr>
            </w:pPr>
          </w:p>
          <w:p w:rsidR="00A11CAB" w:rsidRDefault="00A11CAB" w:rsidP="009635AF">
            <w:pPr>
              <w:rPr>
                <w:rFonts w:ascii="Times New Roman" w:hAnsi="Times New Roman"/>
                <w:sz w:val="20"/>
                <w:szCs w:val="20"/>
              </w:rPr>
            </w:pPr>
          </w:p>
          <w:p w:rsidR="00A11CAB" w:rsidRDefault="00A11CAB" w:rsidP="009635AF">
            <w:pPr>
              <w:rPr>
                <w:rFonts w:ascii="Times New Roman" w:hAnsi="Times New Roman"/>
                <w:sz w:val="20"/>
                <w:szCs w:val="20"/>
              </w:rPr>
            </w:pPr>
          </w:p>
          <w:p w:rsidR="00A11CAB" w:rsidRDefault="00A11CAB" w:rsidP="009635AF">
            <w:pPr>
              <w:rPr>
                <w:rFonts w:ascii="Times New Roman" w:hAnsi="Times New Roman"/>
                <w:sz w:val="20"/>
                <w:szCs w:val="20"/>
              </w:rPr>
            </w:pPr>
          </w:p>
          <w:p w:rsidR="00A11CAB" w:rsidRDefault="00A11CAB" w:rsidP="009635AF">
            <w:pPr>
              <w:rPr>
                <w:rFonts w:ascii="Times New Roman" w:hAnsi="Times New Roman"/>
                <w:sz w:val="20"/>
                <w:szCs w:val="20"/>
              </w:rPr>
            </w:pPr>
          </w:p>
          <w:p w:rsidR="00A11CAB" w:rsidRPr="00AB4AEA" w:rsidRDefault="00A11CAB" w:rsidP="009635AF">
            <w:pPr>
              <w:rPr>
                <w:rFonts w:ascii="Times New Roman" w:hAnsi="Times New Roman"/>
                <w:sz w:val="20"/>
                <w:szCs w:val="20"/>
              </w:rPr>
            </w:pPr>
          </w:p>
        </w:tc>
        <w:tc>
          <w:tcPr>
            <w:tcW w:w="1800" w:type="dxa"/>
          </w:tcPr>
          <w:p w:rsidR="00A11CAB" w:rsidRDefault="00A11CAB" w:rsidP="009635AF">
            <w:pPr>
              <w:rPr>
                <w:rFonts w:ascii="Times New Roman" w:hAnsi="Times New Roman" w:cs="Times New Roman"/>
                <w:sz w:val="20"/>
                <w:szCs w:val="20"/>
              </w:rPr>
            </w:pPr>
            <w:r>
              <w:rPr>
                <w:rFonts w:ascii="Times New Roman" w:hAnsi="Times New Roman" w:cs="Times New Roman"/>
                <w:sz w:val="20"/>
                <w:szCs w:val="20"/>
              </w:rPr>
              <w:t>$5 million within prior 12 months.</w:t>
            </w: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Pr="00AB4AEA" w:rsidRDefault="00A11CAB" w:rsidP="009635AF">
            <w:pPr>
              <w:rPr>
                <w:rFonts w:ascii="Times New Roman" w:hAnsi="Times New Roman"/>
                <w:sz w:val="20"/>
                <w:szCs w:val="20"/>
              </w:rPr>
            </w:pPr>
          </w:p>
        </w:tc>
        <w:tc>
          <w:tcPr>
            <w:tcW w:w="1620" w:type="dxa"/>
          </w:tcPr>
          <w:p w:rsidR="00A11CAB" w:rsidRDefault="00A11CAB" w:rsidP="009635AF">
            <w:pPr>
              <w:rPr>
                <w:rFonts w:ascii="Times New Roman" w:hAnsi="Times New Roman"/>
                <w:sz w:val="20"/>
                <w:szCs w:val="20"/>
              </w:rPr>
            </w:pPr>
            <w:r>
              <w:rPr>
                <w:rFonts w:ascii="Times New Roman" w:hAnsi="Times New Roman"/>
                <w:sz w:val="20"/>
                <w:szCs w:val="20"/>
              </w:rPr>
              <w:t>No requirements.</w:t>
            </w:r>
          </w:p>
          <w:p w:rsidR="00A11CAB" w:rsidRDefault="00A11CAB" w:rsidP="009635AF">
            <w:pPr>
              <w:rPr>
                <w:rFonts w:ascii="Times New Roman" w:hAnsi="Times New Roman"/>
                <w:sz w:val="20"/>
                <w:szCs w:val="20"/>
              </w:rPr>
            </w:pP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Pr="00AB4AEA" w:rsidRDefault="00A11CAB" w:rsidP="009635AF">
            <w:pPr>
              <w:rPr>
                <w:rFonts w:ascii="Times New Roman" w:hAnsi="Times New Roman"/>
                <w:sz w:val="20"/>
                <w:szCs w:val="20"/>
              </w:rPr>
            </w:pPr>
          </w:p>
        </w:tc>
        <w:tc>
          <w:tcPr>
            <w:tcW w:w="1877" w:type="dxa"/>
          </w:tcPr>
          <w:p w:rsidR="00A11CAB" w:rsidRDefault="00A11CAB" w:rsidP="009635AF">
            <w:pPr>
              <w:rPr>
                <w:rFonts w:ascii="Times New Roman" w:hAnsi="Times New Roman" w:cs="Times New Roman"/>
                <w:sz w:val="20"/>
                <w:szCs w:val="20"/>
              </w:rPr>
            </w:pPr>
            <w:r>
              <w:rPr>
                <w:rFonts w:ascii="Times New Roman" w:hAnsi="Times New Roman" w:cs="Times New Roman"/>
                <w:sz w:val="20"/>
                <w:szCs w:val="20"/>
              </w:rPr>
              <w:t>No general solicitation or advertising (with certain state law-based exceptions).</w:t>
            </w: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Pr="00AB4AEA" w:rsidRDefault="00A11CAB" w:rsidP="009635AF">
            <w:pPr>
              <w:rPr>
                <w:rFonts w:ascii="Times New Roman" w:hAnsi="Times New Roman"/>
                <w:sz w:val="20"/>
                <w:szCs w:val="20"/>
              </w:rPr>
            </w:pPr>
          </w:p>
        </w:tc>
        <w:tc>
          <w:tcPr>
            <w:tcW w:w="1350" w:type="dxa"/>
          </w:tcPr>
          <w:p w:rsidR="00A11CAB" w:rsidRDefault="00A11CAB" w:rsidP="009635AF">
            <w:pPr>
              <w:rPr>
                <w:rFonts w:ascii="Times New Roman" w:hAnsi="Times New Roman" w:cs="Times New Roman"/>
                <w:sz w:val="20"/>
                <w:szCs w:val="20"/>
              </w:rPr>
            </w:pPr>
            <w:r>
              <w:rPr>
                <w:rFonts w:ascii="Times New Roman" w:hAnsi="Times New Roman"/>
                <w:sz w:val="20"/>
                <w:szCs w:val="20"/>
              </w:rPr>
              <w:t xml:space="preserve">SEC:  </w:t>
            </w:r>
            <w:r w:rsidRPr="00B01DEF">
              <w:rPr>
                <w:rFonts w:ascii="Times New Roman" w:hAnsi="Times New Roman" w:cs="Times New Roman"/>
                <w:sz w:val="20"/>
                <w:szCs w:val="20"/>
              </w:rPr>
              <w:t xml:space="preserve">File Form D </w:t>
            </w:r>
            <w:r>
              <w:rPr>
                <w:rFonts w:ascii="Times New Roman" w:hAnsi="Times New Roman" w:cs="Times New Roman"/>
                <w:sz w:val="20"/>
                <w:szCs w:val="20"/>
              </w:rPr>
              <w:t>n</w:t>
            </w:r>
            <w:r w:rsidRPr="00B01DEF">
              <w:rPr>
                <w:rFonts w:ascii="Times New Roman" w:hAnsi="Times New Roman" w:cs="Times New Roman"/>
                <w:sz w:val="20"/>
                <w:szCs w:val="20"/>
              </w:rPr>
              <w:t>ot later than 15 days after first sale.    No ongoing reporting.</w:t>
            </w:r>
          </w:p>
          <w:p w:rsidR="00A11CAB" w:rsidRDefault="00A11CAB" w:rsidP="009635AF">
            <w:pPr>
              <w:rPr>
                <w:rFonts w:ascii="Times New Roman" w:hAnsi="Times New Roman" w:cs="Times New Roman"/>
                <w:sz w:val="20"/>
                <w:szCs w:val="20"/>
              </w:rPr>
            </w:pPr>
          </w:p>
          <w:p w:rsidR="00A11CAB" w:rsidRPr="00AB4AEA" w:rsidRDefault="00A11CAB" w:rsidP="009635AF">
            <w:pPr>
              <w:rPr>
                <w:rFonts w:ascii="Times New Roman" w:hAnsi="Times New Roman"/>
                <w:sz w:val="20"/>
                <w:szCs w:val="20"/>
              </w:rPr>
            </w:pPr>
            <w:r>
              <w:rPr>
                <w:rFonts w:ascii="Times New Roman" w:hAnsi="Times New Roman" w:cs="Times New Roman"/>
                <w:sz w:val="20"/>
                <w:szCs w:val="20"/>
              </w:rPr>
              <w:t>State:  Must comply with state law by registration or exemption.</w:t>
            </w:r>
          </w:p>
        </w:tc>
        <w:tc>
          <w:tcPr>
            <w:tcW w:w="1170" w:type="dxa"/>
          </w:tcPr>
          <w:p w:rsidR="00A11CAB" w:rsidRDefault="00A11CAB" w:rsidP="009635AF">
            <w:pPr>
              <w:rPr>
                <w:rFonts w:ascii="Times New Roman" w:hAnsi="Times New Roman"/>
                <w:sz w:val="20"/>
                <w:szCs w:val="20"/>
              </w:rPr>
            </w:pPr>
            <w:r>
              <w:rPr>
                <w:rFonts w:ascii="Times New Roman" w:hAnsi="Times New Roman"/>
                <w:sz w:val="20"/>
                <w:szCs w:val="20"/>
              </w:rPr>
              <w:t>Restricted Securities.  (state law exceptions)</w:t>
            </w:r>
          </w:p>
          <w:p w:rsidR="00A11CAB" w:rsidRDefault="00A11CAB" w:rsidP="009635AF">
            <w:pPr>
              <w:rPr>
                <w:rFonts w:ascii="Times New Roman" w:hAnsi="Times New Roman"/>
                <w:sz w:val="20"/>
                <w:szCs w:val="20"/>
              </w:rPr>
            </w:pPr>
          </w:p>
          <w:p w:rsidR="00A11CAB" w:rsidRDefault="00A11CAB" w:rsidP="009635AF">
            <w:pPr>
              <w:rPr>
                <w:rFonts w:ascii="Times New Roman" w:hAnsi="Times New Roman"/>
                <w:sz w:val="20"/>
                <w:szCs w:val="20"/>
              </w:rPr>
            </w:pPr>
          </w:p>
          <w:p w:rsidR="00A11CAB" w:rsidRPr="00AB4AEA" w:rsidRDefault="00A11CAB" w:rsidP="009635AF">
            <w:pPr>
              <w:rPr>
                <w:rFonts w:ascii="Times New Roman" w:hAnsi="Times New Roman"/>
                <w:sz w:val="20"/>
                <w:szCs w:val="20"/>
              </w:rPr>
            </w:pPr>
          </w:p>
        </w:tc>
        <w:tc>
          <w:tcPr>
            <w:tcW w:w="1363" w:type="dxa"/>
          </w:tcPr>
          <w:p w:rsidR="00A11CAB" w:rsidRDefault="00A11CAB" w:rsidP="009635AF">
            <w:pPr>
              <w:rPr>
                <w:rFonts w:ascii="Times New Roman" w:hAnsi="Times New Roman" w:cs="Times New Roman"/>
                <w:sz w:val="20"/>
                <w:szCs w:val="20"/>
              </w:rPr>
            </w:pPr>
            <w:r w:rsidRPr="000A1891">
              <w:rPr>
                <w:rFonts w:ascii="Times New Roman" w:hAnsi="Times New Roman" w:cs="Times New Roman"/>
                <w:sz w:val="20"/>
                <w:szCs w:val="20"/>
              </w:rPr>
              <w:t xml:space="preserve">No specific information requirements.  </w:t>
            </w: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Default="00A11CAB" w:rsidP="009635AF">
            <w:pPr>
              <w:rPr>
                <w:rFonts w:ascii="Times New Roman" w:hAnsi="Times New Roman" w:cs="Times New Roman"/>
                <w:sz w:val="20"/>
                <w:szCs w:val="20"/>
              </w:rPr>
            </w:pPr>
          </w:p>
          <w:p w:rsidR="00A11CAB" w:rsidRPr="000A1891" w:rsidRDefault="00A11CAB" w:rsidP="009635AF">
            <w:pPr>
              <w:rPr>
                <w:rFonts w:ascii="Times New Roman" w:hAnsi="Times New Roman"/>
                <w:sz w:val="20"/>
                <w:szCs w:val="20"/>
              </w:rPr>
            </w:pPr>
          </w:p>
        </w:tc>
      </w:tr>
      <w:tr w:rsidR="00081EE0" w:rsidTr="009635AF">
        <w:tc>
          <w:tcPr>
            <w:tcW w:w="1620" w:type="dxa"/>
          </w:tcPr>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r>
              <w:rPr>
                <w:rFonts w:ascii="Times New Roman" w:hAnsi="Times New Roman"/>
                <w:sz w:val="20"/>
                <w:szCs w:val="20"/>
              </w:rPr>
              <w:t>(Continued on next page)</w:t>
            </w:r>
          </w:p>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p>
          <w:p w:rsidR="00081EE0" w:rsidRDefault="00081EE0" w:rsidP="00F52BB1">
            <w:pPr>
              <w:rPr>
                <w:rFonts w:ascii="Times New Roman" w:hAnsi="Times New Roman"/>
                <w:sz w:val="20"/>
                <w:szCs w:val="20"/>
              </w:rPr>
            </w:pPr>
          </w:p>
          <w:p w:rsidR="00081EE0" w:rsidRPr="00AB4AEA" w:rsidRDefault="00081EE0" w:rsidP="00F52BB1">
            <w:pPr>
              <w:rPr>
                <w:rFonts w:ascii="Times New Roman" w:hAnsi="Times New Roman"/>
                <w:sz w:val="20"/>
                <w:szCs w:val="20"/>
              </w:rPr>
            </w:pPr>
          </w:p>
        </w:tc>
        <w:tc>
          <w:tcPr>
            <w:tcW w:w="1800" w:type="dxa"/>
          </w:tcPr>
          <w:p w:rsidR="00081EE0" w:rsidRPr="00AB4AEA" w:rsidRDefault="00081EE0" w:rsidP="00F52BB1">
            <w:pPr>
              <w:rPr>
                <w:rFonts w:ascii="Times New Roman" w:hAnsi="Times New Roman"/>
                <w:sz w:val="20"/>
                <w:szCs w:val="20"/>
              </w:rPr>
            </w:pPr>
          </w:p>
        </w:tc>
        <w:tc>
          <w:tcPr>
            <w:tcW w:w="1620" w:type="dxa"/>
          </w:tcPr>
          <w:p w:rsidR="00081EE0" w:rsidRPr="00AB4AEA" w:rsidRDefault="00081EE0" w:rsidP="00F52BB1">
            <w:pPr>
              <w:rPr>
                <w:rFonts w:ascii="Times New Roman" w:hAnsi="Times New Roman"/>
                <w:sz w:val="20"/>
                <w:szCs w:val="20"/>
              </w:rPr>
            </w:pPr>
          </w:p>
        </w:tc>
        <w:tc>
          <w:tcPr>
            <w:tcW w:w="1877" w:type="dxa"/>
          </w:tcPr>
          <w:p w:rsidR="00081EE0" w:rsidRPr="00AB4AEA" w:rsidRDefault="00081EE0" w:rsidP="00F52BB1">
            <w:pPr>
              <w:rPr>
                <w:rFonts w:ascii="Times New Roman" w:hAnsi="Times New Roman"/>
                <w:sz w:val="20"/>
                <w:szCs w:val="20"/>
              </w:rPr>
            </w:pPr>
          </w:p>
        </w:tc>
        <w:tc>
          <w:tcPr>
            <w:tcW w:w="1350" w:type="dxa"/>
          </w:tcPr>
          <w:p w:rsidR="00081EE0" w:rsidRPr="00AB4AEA" w:rsidRDefault="00081EE0" w:rsidP="00F52BB1">
            <w:pPr>
              <w:rPr>
                <w:rFonts w:ascii="Times New Roman" w:hAnsi="Times New Roman"/>
                <w:sz w:val="20"/>
                <w:szCs w:val="20"/>
              </w:rPr>
            </w:pPr>
          </w:p>
        </w:tc>
        <w:tc>
          <w:tcPr>
            <w:tcW w:w="1170" w:type="dxa"/>
          </w:tcPr>
          <w:p w:rsidR="00081EE0" w:rsidRPr="00AB4AEA" w:rsidRDefault="00081EE0" w:rsidP="00F52BB1">
            <w:pPr>
              <w:rPr>
                <w:rFonts w:ascii="Times New Roman" w:hAnsi="Times New Roman"/>
                <w:sz w:val="20"/>
                <w:szCs w:val="20"/>
              </w:rPr>
            </w:pPr>
          </w:p>
        </w:tc>
        <w:tc>
          <w:tcPr>
            <w:tcW w:w="1363" w:type="dxa"/>
          </w:tcPr>
          <w:p w:rsidR="00081EE0" w:rsidRPr="00AB4AEA" w:rsidRDefault="00081EE0" w:rsidP="00F52BB1">
            <w:pPr>
              <w:rPr>
                <w:rFonts w:ascii="Times New Roman" w:hAnsi="Times New Roman"/>
                <w:sz w:val="20"/>
                <w:szCs w:val="20"/>
              </w:rPr>
            </w:pPr>
          </w:p>
        </w:tc>
      </w:tr>
      <w:tr w:rsidR="00081EE0" w:rsidTr="009635AF">
        <w:tc>
          <w:tcPr>
            <w:tcW w:w="1620" w:type="dxa"/>
          </w:tcPr>
          <w:p w:rsidR="00081EE0" w:rsidRPr="00B46656" w:rsidRDefault="00081EE0" w:rsidP="00F52BB1">
            <w:pPr>
              <w:rPr>
                <w:rFonts w:ascii="Times New Roman" w:hAnsi="Times New Roman" w:cs="Times New Roman"/>
                <w:sz w:val="20"/>
                <w:szCs w:val="20"/>
              </w:rPr>
            </w:pPr>
            <w:r w:rsidRPr="00B46656">
              <w:rPr>
                <w:rFonts w:ascii="Times New Roman" w:hAnsi="Times New Roman" w:cs="Times New Roman"/>
                <w:sz w:val="20"/>
                <w:szCs w:val="20"/>
              </w:rPr>
              <w:lastRenderedPageBreak/>
              <w:t>Type of Offering</w:t>
            </w:r>
          </w:p>
        </w:tc>
        <w:tc>
          <w:tcPr>
            <w:tcW w:w="1800" w:type="dxa"/>
          </w:tcPr>
          <w:p w:rsidR="00081EE0" w:rsidRPr="00B46656" w:rsidRDefault="00081EE0" w:rsidP="00F52BB1">
            <w:pPr>
              <w:rPr>
                <w:rFonts w:ascii="Times New Roman" w:hAnsi="Times New Roman" w:cs="Times New Roman"/>
                <w:sz w:val="20"/>
                <w:szCs w:val="20"/>
              </w:rPr>
            </w:pPr>
            <w:r w:rsidRPr="00B46656">
              <w:rPr>
                <w:rFonts w:ascii="Times New Roman" w:hAnsi="Times New Roman" w:cs="Times New Roman"/>
                <w:sz w:val="20"/>
                <w:szCs w:val="20"/>
              </w:rPr>
              <w:t>Aggregate Offering Price Limitation</w:t>
            </w:r>
          </w:p>
        </w:tc>
        <w:tc>
          <w:tcPr>
            <w:tcW w:w="1620" w:type="dxa"/>
          </w:tcPr>
          <w:p w:rsidR="00081EE0" w:rsidRPr="00B46656" w:rsidRDefault="00081EE0" w:rsidP="00F52BB1">
            <w:pPr>
              <w:rPr>
                <w:rFonts w:ascii="Times New Roman" w:hAnsi="Times New Roman" w:cs="Times New Roman"/>
                <w:sz w:val="20"/>
                <w:szCs w:val="20"/>
              </w:rPr>
            </w:pPr>
            <w:r w:rsidRPr="00B46656">
              <w:rPr>
                <w:rFonts w:ascii="Times New Roman" w:hAnsi="Times New Roman" w:cs="Times New Roman"/>
                <w:sz w:val="20"/>
                <w:szCs w:val="20"/>
              </w:rPr>
              <w:t>Issuer &amp; Investor Requirements</w:t>
            </w:r>
          </w:p>
        </w:tc>
        <w:tc>
          <w:tcPr>
            <w:tcW w:w="1877" w:type="dxa"/>
          </w:tcPr>
          <w:p w:rsidR="00081EE0" w:rsidRPr="00B46656" w:rsidRDefault="00081EE0" w:rsidP="00F52BB1">
            <w:pPr>
              <w:rPr>
                <w:rFonts w:ascii="Times New Roman" w:hAnsi="Times New Roman" w:cs="Times New Roman"/>
                <w:sz w:val="20"/>
                <w:szCs w:val="20"/>
              </w:rPr>
            </w:pPr>
            <w:r w:rsidRPr="00B46656">
              <w:rPr>
                <w:rFonts w:ascii="Times New Roman" w:hAnsi="Times New Roman" w:cs="Times New Roman"/>
                <w:sz w:val="20"/>
                <w:szCs w:val="20"/>
              </w:rPr>
              <w:t>Limitations on Manner of Offering</w:t>
            </w:r>
          </w:p>
        </w:tc>
        <w:tc>
          <w:tcPr>
            <w:tcW w:w="1350" w:type="dxa"/>
          </w:tcPr>
          <w:p w:rsidR="00081EE0" w:rsidRPr="00B46656" w:rsidRDefault="00081EE0" w:rsidP="00F52BB1">
            <w:pPr>
              <w:rPr>
                <w:rFonts w:ascii="Times New Roman" w:hAnsi="Times New Roman" w:cs="Times New Roman"/>
                <w:sz w:val="20"/>
                <w:szCs w:val="20"/>
              </w:rPr>
            </w:pPr>
            <w:r w:rsidRPr="00B46656">
              <w:rPr>
                <w:rFonts w:ascii="Times New Roman" w:hAnsi="Times New Roman" w:cs="Times New Roman"/>
                <w:sz w:val="20"/>
                <w:szCs w:val="20"/>
              </w:rPr>
              <w:t>SEC and State Filing Requirements</w:t>
            </w:r>
          </w:p>
        </w:tc>
        <w:tc>
          <w:tcPr>
            <w:tcW w:w="1170" w:type="dxa"/>
          </w:tcPr>
          <w:p w:rsidR="00081EE0" w:rsidRPr="00B46656" w:rsidRDefault="00081EE0" w:rsidP="00F52BB1">
            <w:pPr>
              <w:rPr>
                <w:rFonts w:ascii="Times New Roman" w:hAnsi="Times New Roman" w:cs="Times New Roman"/>
                <w:sz w:val="20"/>
                <w:szCs w:val="20"/>
              </w:rPr>
            </w:pPr>
            <w:r w:rsidRPr="00B46656">
              <w:rPr>
                <w:rFonts w:ascii="Times New Roman" w:hAnsi="Times New Roman" w:cs="Times New Roman"/>
                <w:sz w:val="20"/>
                <w:szCs w:val="20"/>
              </w:rPr>
              <w:t>Limitations on Resales</w:t>
            </w:r>
          </w:p>
        </w:tc>
        <w:tc>
          <w:tcPr>
            <w:tcW w:w="1363" w:type="dxa"/>
          </w:tcPr>
          <w:p w:rsidR="00081EE0" w:rsidRPr="00B46656" w:rsidRDefault="00081EE0" w:rsidP="00F52BB1">
            <w:pPr>
              <w:rPr>
                <w:rFonts w:ascii="Times New Roman" w:hAnsi="Times New Roman" w:cs="Times New Roman"/>
                <w:sz w:val="20"/>
                <w:szCs w:val="20"/>
              </w:rPr>
            </w:pPr>
            <w:r w:rsidRPr="00B46656">
              <w:rPr>
                <w:rFonts w:ascii="Times New Roman" w:hAnsi="Times New Roman" w:cs="Times New Roman"/>
                <w:sz w:val="20"/>
                <w:szCs w:val="20"/>
              </w:rPr>
              <w:t>Information Requirements</w:t>
            </w:r>
          </w:p>
        </w:tc>
      </w:tr>
      <w:tr w:rsidR="00081EE0" w:rsidTr="009635AF">
        <w:tc>
          <w:tcPr>
            <w:tcW w:w="1620" w:type="dxa"/>
          </w:tcPr>
          <w:p w:rsidR="00081EE0" w:rsidRDefault="00081EE0" w:rsidP="009635AF">
            <w:pPr>
              <w:rPr>
                <w:rFonts w:ascii="Times New Roman" w:hAnsi="Times New Roman"/>
                <w:sz w:val="20"/>
                <w:szCs w:val="20"/>
              </w:rPr>
            </w:pPr>
            <w:r>
              <w:rPr>
                <w:rFonts w:ascii="Times New Roman" w:hAnsi="Times New Roman"/>
                <w:sz w:val="20"/>
                <w:szCs w:val="20"/>
              </w:rPr>
              <w:t>Regulation A</w:t>
            </w:r>
          </w:p>
          <w:p w:rsidR="00081EE0" w:rsidRDefault="00081EE0" w:rsidP="009635AF">
            <w:pPr>
              <w:rPr>
                <w:rFonts w:ascii="Times New Roman" w:hAnsi="Times New Roman"/>
                <w:sz w:val="20"/>
                <w:szCs w:val="20"/>
              </w:rPr>
            </w:pPr>
            <w:r>
              <w:rPr>
                <w:rFonts w:ascii="Times New Roman" w:hAnsi="Times New Roman"/>
                <w:sz w:val="20"/>
                <w:szCs w:val="20"/>
              </w:rPr>
              <w:t>Tier 1</w:t>
            </w: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r>
              <w:rPr>
                <w:rFonts w:ascii="Times New Roman" w:hAnsi="Times New Roman"/>
                <w:sz w:val="20"/>
                <w:szCs w:val="20"/>
              </w:rPr>
              <w:t>Tier 2 (Reg. A+)</w:t>
            </w: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Pr="00AB4AEA" w:rsidRDefault="00081EE0" w:rsidP="009635AF">
            <w:pPr>
              <w:rPr>
                <w:rFonts w:ascii="Times New Roman" w:hAnsi="Times New Roman"/>
                <w:sz w:val="20"/>
                <w:szCs w:val="20"/>
              </w:rPr>
            </w:pPr>
          </w:p>
        </w:tc>
        <w:tc>
          <w:tcPr>
            <w:tcW w:w="1800" w:type="dxa"/>
          </w:tcPr>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 xml:space="preserve">$20 million in prior 12 months, but no more than $6 million by selling security holders.  </w:t>
            </w:r>
          </w:p>
          <w:p w:rsidR="00081EE0" w:rsidRDefault="00081EE0" w:rsidP="009635AF">
            <w:pPr>
              <w:rPr>
                <w:rFonts w:ascii="Times New Roman" w:hAnsi="Times New Roman" w:cs="Times New Roman"/>
                <w:sz w:val="20"/>
                <w:szCs w:val="20"/>
              </w:rPr>
            </w:pPr>
          </w:p>
          <w:p w:rsidR="00081EE0" w:rsidRPr="00993CF5" w:rsidRDefault="00081EE0" w:rsidP="009635AF">
            <w:pPr>
              <w:rPr>
                <w:rFonts w:ascii="Times New Roman" w:hAnsi="Times New Roman" w:cs="Times New Roman"/>
                <w:sz w:val="20"/>
                <w:szCs w:val="20"/>
              </w:rPr>
            </w:pPr>
            <w:r>
              <w:rPr>
                <w:rFonts w:ascii="Times New Roman" w:hAnsi="Times New Roman" w:cs="Times New Roman"/>
                <w:sz w:val="20"/>
                <w:szCs w:val="20"/>
              </w:rPr>
              <w:t>$50 million in prior 12 months, but no more than $15 million by selling security holders.</w:t>
            </w:r>
          </w:p>
        </w:tc>
        <w:tc>
          <w:tcPr>
            <w:tcW w:w="162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O</w:t>
            </w:r>
            <w:r w:rsidRPr="00401C3B">
              <w:rPr>
                <w:rFonts w:ascii="Times New Roman" w:hAnsi="Times New Roman" w:cs="Times New Roman"/>
                <w:sz w:val="20"/>
                <w:szCs w:val="20"/>
              </w:rPr>
              <w:t xml:space="preserve">nly available to U.S. and </w:t>
            </w:r>
            <w:r>
              <w:rPr>
                <w:rFonts w:ascii="Times New Roman" w:hAnsi="Times New Roman" w:cs="Times New Roman"/>
                <w:sz w:val="20"/>
                <w:szCs w:val="20"/>
              </w:rPr>
              <w:t>Cdn.</w:t>
            </w:r>
            <w:r w:rsidRPr="00401C3B">
              <w:rPr>
                <w:rFonts w:ascii="Times New Roman" w:hAnsi="Times New Roman" w:cs="Times New Roman"/>
                <w:sz w:val="20"/>
                <w:szCs w:val="20"/>
              </w:rPr>
              <w:t xml:space="preserve"> </w:t>
            </w:r>
            <w:r>
              <w:rPr>
                <w:rFonts w:ascii="Times New Roman" w:hAnsi="Times New Roman" w:cs="Times New Roman"/>
                <w:sz w:val="20"/>
                <w:szCs w:val="20"/>
              </w:rPr>
              <w:t>c</w:t>
            </w:r>
            <w:r w:rsidRPr="00401C3B">
              <w:rPr>
                <w:rFonts w:ascii="Times New Roman" w:hAnsi="Times New Roman" w:cs="Times New Roman"/>
                <w:sz w:val="20"/>
                <w:szCs w:val="20"/>
              </w:rPr>
              <w:t>os</w:t>
            </w:r>
            <w:r>
              <w:rPr>
                <w:rFonts w:ascii="Times New Roman" w:hAnsi="Times New Roman" w:cs="Times New Roman"/>
                <w:sz w:val="20"/>
                <w:szCs w:val="20"/>
              </w:rPr>
              <w:t>.</w:t>
            </w:r>
            <w:r w:rsidRPr="00401C3B">
              <w:rPr>
                <w:rFonts w:ascii="Times New Roman" w:hAnsi="Times New Roman" w:cs="Times New Roman"/>
                <w:sz w:val="20"/>
                <w:szCs w:val="20"/>
              </w:rPr>
              <w:t>, not available to Exchange Act reporting co</w:t>
            </w:r>
            <w:r>
              <w:rPr>
                <w:rFonts w:ascii="Times New Roman" w:hAnsi="Times New Roman" w:cs="Times New Roman"/>
                <w:sz w:val="20"/>
                <w:szCs w:val="20"/>
              </w:rPr>
              <w:t>s.</w:t>
            </w:r>
            <w:r w:rsidRPr="00401C3B">
              <w:rPr>
                <w:rFonts w:ascii="Times New Roman" w:hAnsi="Times New Roman" w:cs="Times New Roman"/>
                <w:sz w:val="20"/>
                <w:szCs w:val="20"/>
              </w:rPr>
              <w:t>, investment cos</w:t>
            </w:r>
            <w:r>
              <w:rPr>
                <w:rFonts w:ascii="Times New Roman" w:hAnsi="Times New Roman" w:cs="Times New Roman"/>
                <w:sz w:val="20"/>
                <w:szCs w:val="20"/>
              </w:rPr>
              <w:t>.</w:t>
            </w:r>
            <w:r w:rsidRPr="00401C3B">
              <w:rPr>
                <w:rFonts w:ascii="Times New Roman" w:hAnsi="Times New Roman" w:cs="Times New Roman"/>
                <w:sz w:val="20"/>
                <w:szCs w:val="20"/>
              </w:rPr>
              <w:t xml:space="preserve"> required to register by the ICA and “blank check” cos. </w:t>
            </w:r>
          </w:p>
          <w:p w:rsidR="00081EE0" w:rsidRDefault="00081EE0" w:rsidP="009635AF">
            <w:pPr>
              <w:rPr>
                <w:rFonts w:ascii="Times New Roman" w:hAnsi="Times New Roman" w:cs="Times New Roman"/>
                <w:sz w:val="20"/>
                <w:szCs w:val="20"/>
              </w:rPr>
            </w:pPr>
          </w:p>
          <w:p w:rsidR="00081EE0" w:rsidRPr="00401C3B" w:rsidRDefault="00081EE0" w:rsidP="009635AF">
            <w:pPr>
              <w:rPr>
                <w:rFonts w:ascii="Times New Roman" w:hAnsi="Times New Roman"/>
                <w:sz w:val="20"/>
                <w:szCs w:val="20"/>
              </w:rPr>
            </w:pPr>
            <w:r>
              <w:rPr>
                <w:rFonts w:ascii="Times New Roman" w:hAnsi="Times New Roman" w:cs="Times New Roman"/>
                <w:sz w:val="20"/>
                <w:szCs w:val="20"/>
              </w:rPr>
              <w:t>N</w:t>
            </w:r>
            <w:r w:rsidRPr="00401C3B">
              <w:rPr>
                <w:rFonts w:ascii="Times New Roman" w:hAnsi="Times New Roman" w:cs="Times New Roman"/>
                <w:sz w:val="20"/>
                <w:szCs w:val="20"/>
              </w:rPr>
              <w:t xml:space="preserve">o requirements for </w:t>
            </w:r>
            <w:r>
              <w:rPr>
                <w:rFonts w:ascii="Times New Roman" w:hAnsi="Times New Roman" w:cs="Times New Roman"/>
                <w:sz w:val="20"/>
                <w:szCs w:val="20"/>
              </w:rPr>
              <w:t xml:space="preserve">Tier 1 </w:t>
            </w:r>
            <w:r w:rsidRPr="00401C3B">
              <w:rPr>
                <w:rFonts w:ascii="Times New Roman" w:hAnsi="Times New Roman" w:cs="Times New Roman"/>
                <w:sz w:val="20"/>
                <w:szCs w:val="20"/>
              </w:rPr>
              <w:t xml:space="preserve">investors; Tier 2 restrictions on investment limits by </w:t>
            </w:r>
            <w:r>
              <w:rPr>
                <w:rFonts w:ascii="Times New Roman" w:hAnsi="Times New Roman" w:cs="Times New Roman"/>
                <w:sz w:val="20"/>
                <w:szCs w:val="20"/>
              </w:rPr>
              <w:t xml:space="preserve">non-accredited </w:t>
            </w:r>
            <w:r w:rsidRPr="00401C3B">
              <w:rPr>
                <w:rFonts w:ascii="Times New Roman" w:hAnsi="Times New Roman" w:cs="Times New Roman"/>
                <w:sz w:val="20"/>
                <w:szCs w:val="20"/>
              </w:rPr>
              <w:t>investors</w:t>
            </w:r>
            <w:r>
              <w:rPr>
                <w:rFonts w:ascii="Times New Roman" w:hAnsi="Times New Roman" w:cs="Times New Roman"/>
                <w:sz w:val="20"/>
                <w:szCs w:val="20"/>
              </w:rPr>
              <w:t xml:space="preserve"> unless offering is listed on national</w:t>
            </w:r>
            <w:r w:rsidRPr="00401C3B">
              <w:rPr>
                <w:rFonts w:ascii="Times New Roman" w:hAnsi="Times New Roman" w:cs="Times New Roman"/>
                <w:sz w:val="20"/>
                <w:szCs w:val="20"/>
              </w:rPr>
              <w:t xml:space="preserve"> exchange upon qualification.</w:t>
            </w:r>
          </w:p>
        </w:tc>
        <w:tc>
          <w:tcPr>
            <w:tcW w:w="1877" w:type="dxa"/>
          </w:tcPr>
          <w:p w:rsidR="00081EE0" w:rsidRPr="00AB4AEA" w:rsidRDefault="00081EE0" w:rsidP="009635AF">
            <w:pPr>
              <w:rPr>
                <w:rFonts w:ascii="Times New Roman" w:hAnsi="Times New Roman"/>
                <w:sz w:val="20"/>
                <w:szCs w:val="20"/>
              </w:rPr>
            </w:pPr>
            <w:r>
              <w:rPr>
                <w:rFonts w:ascii="Times New Roman" w:hAnsi="Times New Roman" w:cs="Times New Roman"/>
                <w:sz w:val="20"/>
                <w:szCs w:val="20"/>
              </w:rPr>
              <w:t>“Testing the waters” permitted before filing Form 1-A.  Sales permitted after Form 1-A qualified.</w:t>
            </w:r>
          </w:p>
        </w:tc>
        <w:tc>
          <w:tcPr>
            <w:tcW w:w="135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SEC:  File Form 1-A, any sales material and Form 2-A report of sales and use of proceeds.  Tier 1:  No ongoing reporting.  Tier 2:  Ongoing Reporting.</w:t>
            </w:r>
          </w:p>
          <w:p w:rsidR="00081EE0" w:rsidRDefault="00081EE0" w:rsidP="009635AF">
            <w:pPr>
              <w:rPr>
                <w:rFonts w:ascii="Times New Roman" w:hAnsi="Times New Roman" w:cs="Times New Roman"/>
                <w:sz w:val="20"/>
                <w:szCs w:val="20"/>
              </w:rPr>
            </w:pPr>
          </w:p>
          <w:p w:rsidR="00081EE0" w:rsidRPr="007743BB" w:rsidRDefault="00081EE0" w:rsidP="009635AF">
            <w:pPr>
              <w:rPr>
                <w:rFonts w:ascii="Times New Roman" w:hAnsi="Times New Roman" w:cs="Times New Roman"/>
                <w:sz w:val="20"/>
                <w:szCs w:val="20"/>
              </w:rPr>
            </w:pPr>
            <w:r>
              <w:rPr>
                <w:rFonts w:ascii="Times New Roman" w:hAnsi="Times New Roman" w:cs="Times New Roman"/>
                <w:sz w:val="20"/>
                <w:szCs w:val="20"/>
              </w:rPr>
              <w:t>State:  Tier 1:  Must comply with state law.  Tier 2:  Exempt from state law requirements as “Covered Securities.”</w:t>
            </w:r>
          </w:p>
        </w:tc>
        <w:tc>
          <w:tcPr>
            <w:tcW w:w="1170" w:type="dxa"/>
          </w:tcPr>
          <w:p w:rsidR="00081EE0" w:rsidRPr="00AB4AEA" w:rsidRDefault="00081EE0" w:rsidP="009635AF">
            <w:pPr>
              <w:rPr>
                <w:rFonts w:ascii="Times New Roman" w:hAnsi="Times New Roman"/>
                <w:sz w:val="20"/>
                <w:szCs w:val="20"/>
              </w:rPr>
            </w:pPr>
            <w:r>
              <w:rPr>
                <w:rFonts w:ascii="Times New Roman" w:hAnsi="Times New Roman"/>
                <w:sz w:val="20"/>
                <w:szCs w:val="20"/>
              </w:rPr>
              <w:t>None; freely resalable.</w:t>
            </w:r>
          </w:p>
        </w:tc>
        <w:tc>
          <w:tcPr>
            <w:tcW w:w="1363" w:type="dxa"/>
          </w:tcPr>
          <w:p w:rsidR="00081EE0" w:rsidRPr="008C67E4" w:rsidRDefault="00081EE0" w:rsidP="009635AF">
            <w:pPr>
              <w:rPr>
                <w:rFonts w:ascii="Times New Roman" w:hAnsi="Times New Roman" w:cs="Times New Roman"/>
                <w:sz w:val="20"/>
                <w:szCs w:val="20"/>
              </w:rPr>
            </w:pPr>
            <w:r w:rsidRPr="00257456">
              <w:rPr>
                <w:rFonts w:ascii="Times New Roman" w:hAnsi="Times New Roman" w:cs="Times New Roman"/>
                <w:sz w:val="20"/>
                <w:szCs w:val="20"/>
              </w:rPr>
              <w:t>File detailed Form 1-A offering statement pu</w:t>
            </w:r>
            <w:r>
              <w:rPr>
                <w:rFonts w:ascii="Times New Roman" w:hAnsi="Times New Roman" w:cs="Times New Roman"/>
                <w:sz w:val="20"/>
                <w:szCs w:val="20"/>
              </w:rPr>
              <w:t xml:space="preserve">rsuant to </w:t>
            </w:r>
            <w:r w:rsidRPr="00257456">
              <w:rPr>
                <w:rFonts w:ascii="Times New Roman" w:hAnsi="Times New Roman" w:cs="Times New Roman"/>
                <w:sz w:val="20"/>
                <w:szCs w:val="20"/>
              </w:rPr>
              <w:t xml:space="preserve">with the SEC, along with any sales material and Form 2-A report of sales and use of proceeds. </w:t>
            </w:r>
          </w:p>
        </w:tc>
      </w:tr>
      <w:tr w:rsidR="00081EE0" w:rsidTr="009635AF">
        <w:tc>
          <w:tcPr>
            <w:tcW w:w="1620" w:type="dxa"/>
          </w:tcPr>
          <w:p w:rsidR="00081EE0" w:rsidRPr="00AB4AEA" w:rsidRDefault="00081EE0" w:rsidP="009635AF">
            <w:pPr>
              <w:rPr>
                <w:rFonts w:ascii="Times New Roman" w:hAnsi="Times New Roman"/>
                <w:sz w:val="20"/>
                <w:szCs w:val="20"/>
              </w:rPr>
            </w:pPr>
          </w:p>
        </w:tc>
        <w:tc>
          <w:tcPr>
            <w:tcW w:w="1800" w:type="dxa"/>
          </w:tcPr>
          <w:p w:rsidR="00081EE0" w:rsidRPr="00AB4AEA" w:rsidRDefault="00081EE0" w:rsidP="009635AF">
            <w:pPr>
              <w:rPr>
                <w:rFonts w:ascii="Times New Roman" w:hAnsi="Times New Roman"/>
                <w:sz w:val="20"/>
                <w:szCs w:val="20"/>
              </w:rPr>
            </w:pPr>
          </w:p>
        </w:tc>
        <w:tc>
          <w:tcPr>
            <w:tcW w:w="1620" w:type="dxa"/>
          </w:tcPr>
          <w:p w:rsidR="00081EE0" w:rsidRPr="00AB4AEA" w:rsidRDefault="00081EE0" w:rsidP="009635AF">
            <w:pPr>
              <w:rPr>
                <w:rFonts w:ascii="Times New Roman" w:hAnsi="Times New Roman"/>
                <w:sz w:val="20"/>
                <w:szCs w:val="20"/>
              </w:rPr>
            </w:pPr>
          </w:p>
        </w:tc>
        <w:tc>
          <w:tcPr>
            <w:tcW w:w="1877" w:type="dxa"/>
          </w:tcPr>
          <w:p w:rsidR="00081EE0" w:rsidRPr="00AB4AEA" w:rsidRDefault="00081EE0" w:rsidP="009635AF">
            <w:pPr>
              <w:rPr>
                <w:rFonts w:ascii="Times New Roman" w:hAnsi="Times New Roman"/>
                <w:sz w:val="20"/>
                <w:szCs w:val="20"/>
              </w:rPr>
            </w:pPr>
          </w:p>
        </w:tc>
        <w:tc>
          <w:tcPr>
            <w:tcW w:w="1350" w:type="dxa"/>
          </w:tcPr>
          <w:p w:rsidR="00081EE0" w:rsidRPr="00AB4AEA" w:rsidRDefault="00081EE0" w:rsidP="009635AF">
            <w:pPr>
              <w:rPr>
                <w:rFonts w:ascii="Times New Roman" w:hAnsi="Times New Roman"/>
                <w:sz w:val="20"/>
                <w:szCs w:val="20"/>
              </w:rPr>
            </w:pPr>
          </w:p>
        </w:tc>
        <w:tc>
          <w:tcPr>
            <w:tcW w:w="1170" w:type="dxa"/>
          </w:tcPr>
          <w:p w:rsidR="00081EE0" w:rsidRPr="00AB4AEA" w:rsidRDefault="00081EE0" w:rsidP="009635AF">
            <w:pPr>
              <w:rPr>
                <w:rFonts w:ascii="Times New Roman" w:hAnsi="Times New Roman"/>
                <w:sz w:val="20"/>
                <w:szCs w:val="20"/>
              </w:rPr>
            </w:pPr>
          </w:p>
        </w:tc>
        <w:tc>
          <w:tcPr>
            <w:tcW w:w="1363" w:type="dxa"/>
          </w:tcPr>
          <w:p w:rsidR="00081EE0" w:rsidRPr="00AB4AEA" w:rsidRDefault="00081EE0" w:rsidP="009635AF">
            <w:pPr>
              <w:rPr>
                <w:rFonts w:ascii="Times New Roman" w:hAnsi="Times New Roman"/>
                <w:sz w:val="20"/>
                <w:szCs w:val="20"/>
              </w:rPr>
            </w:pPr>
          </w:p>
        </w:tc>
      </w:tr>
      <w:tr w:rsidR="00081EE0" w:rsidTr="009635AF">
        <w:tc>
          <w:tcPr>
            <w:tcW w:w="1620" w:type="dxa"/>
          </w:tcPr>
          <w:p w:rsidR="00081EE0" w:rsidRPr="00AB4AEA" w:rsidRDefault="00081EE0" w:rsidP="009635AF">
            <w:pPr>
              <w:rPr>
                <w:rFonts w:ascii="Times New Roman" w:hAnsi="Times New Roman"/>
                <w:sz w:val="20"/>
                <w:szCs w:val="20"/>
              </w:rPr>
            </w:pPr>
            <w:r>
              <w:rPr>
                <w:rFonts w:ascii="Times New Roman" w:hAnsi="Times New Roman"/>
                <w:sz w:val="20"/>
                <w:szCs w:val="20"/>
              </w:rPr>
              <w:t>Rule 701</w:t>
            </w:r>
          </w:p>
        </w:tc>
        <w:tc>
          <w:tcPr>
            <w:tcW w:w="1800" w:type="dxa"/>
          </w:tcPr>
          <w:p w:rsidR="00081EE0" w:rsidRPr="00EF45DA" w:rsidRDefault="00081EE0" w:rsidP="009635AF">
            <w:pPr>
              <w:rPr>
                <w:rFonts w:ascii="Times New Roman" w:hAnsi="Times New Roman"/>
                <w:sz w:val="20"/>
                <w:szCs w:val="20"/>
              </w:rPr>
            </w:pPr>
            <w:r>
              <w:rPr>
                <w:rFonts w:ascii="Times New Roman" w:hAnsi="Times New Roman" w:cs="Times New Roman"/>
                <w:sz w:val="20"/>
                <w:szCs w:val="20"/>
              </w:rPr>
              <w:t>G</w:t>
            </w:r>
            <w:r w:rsidRPr="00EF45DA">
              <w:rPr>
                <w:rFonts w:ascii="Times New Roman" w:hAnsi="Times New Roman" w:cs="Times New Roman"/>
                <w:sz w:val="20"/>
                <w:szCs w:val="20"/>
              </w:rPr>
              <w:t>reater of $1 million in prior 12 months, or 15% of issuer’s total assets, or 15% of issuer’s outstanding securities of the same class.</w:t>
            </w:r>
          </w:p>
        </w:tc>
        <w:tc>
          <w:tcPr>
            <w:tcW w:w="162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N</w:t>
            </w:r>
            <w:r w:rsidRPr="00081E67">
              <w:rPr>
                <w:rFonts w:ascii="Times New Roman" w:hAnsi="Times New Roman" w:cs="Times New Roman"/>
                <w:sz w:val="20"/>
                <w:szCs w:val="20"/>
              </w:rPr>
              <w:t>ot available to issuer Exchange Act reporting co</w:t>
            </w:r>
            <w:r>
              <w:rPr>
                <w:rFonts w:ascii="Times New Roman" w:hAnsi="Times New Roman" w:cs="Times New Roman"/>
                <w:sz w:val="20"/>
                <w:szCs w:val="20"/>
              </w:rPr>
              <w:t xml:space="preserve">s. </w:t>
            </w:r>
            <w:r w:rsidRPr="00081E67">
              <w:rPr>
                <w:rFonts w:ascii="Times New Roman" w:hAnsi="Times New Roman" w:cs="Times New Roman"/>
                <w:sz w:val="20"/>
                <w:szCs w:val="20"/>
              </w:rPr>
              <w:t xml:space="preserve">or investment cos.  </w:t>
            </w:r>
          </w:p>
          <w:p w:rsidR="00081EE0" w:rsidRDefault="00081EE0" w:rsidP="009635AF">
            <w:pPr>
              <w:rPr>
                <w:rFonts w:ascii="Times New Roman" w:hAnsi="Times New Roman" w:cs="Times New Roman"/>
                <w:sz w:val="20"/>
                <w:szCs w:val="20"/>
              </w:rPr>
            </w:pPr>
          </w:p>
          <w:p w:rsidR="00081EE0" w:rsidRPr="00081E67" w:rsidRDefault="00081EE0" w:rsidP="009635AF">
            <w:pPr>
              <w:rPr>
                <w:rFonts w:ascii="Times New Roman" w:hAnsi="Times New Roman"/>
                <w:sz w:val="20"/>
                <w:szCs w:val="20"/>
              </w:rPr>
            </w:pPr>
            <w:r w:rsidRPr="00081E67">
              <w:rPr>
                <w:rFonts w:ascii="Times New Roman" w:hAnsi="Times New Roman" w:cs="Times New Roman"/>
                <w:sz w:val="20"/>
                <w:szCs w:val="20"/>
              </w:rPr>
              <w:t>Investors must be officers, directors, emp</w:t>
            </w:r>
            <w:r>
              <w:rPr>
                <w:rFonts w:ascii="Times New Roman" w:hAnsi="Times New Roman" w:cs="Times New Roman"/>
                <w:sz w:val="20"/>
                <w:szCs w:val="20"/>
              </w:rPr>
              <w:t xml:space="preserve">loyees or consultants </w:t>
            </w:r>
            <w:r w:rsidRPr="00081E67">
              <w:rPr>
                <w:rFonts w:ascii="Times New Roman" w:hAnsi="Times New Roman" w:cs="Times New Roman"/>
                <w:sz w:val="20"/>
                <w:szCs w:val="20"/>
              </w:rPr>
              <w:t xml:space="preserve"> in stock purchase or award, stock option plan, or employment agreement.  No other investor sophistication requirements.</w:t>
            </w:r>
          </w:p>
        </w:tc>
        <w:tc>
          <w:tcPr>
            <w:tcW w:w="1877" w:type="dxa"/>
          </w:tcPr>
          <w:p w:rsidR="00081EE0" w:rsidRPr="00583E09" w:rsidRDefault="00081EE0" w:rsidP="009635AF">
            <w:pPr>
              <w:rPr>
                <w:rFonts w:ascii="Times New Roman" w:hAnsi="Times New Roman"/>
                <w:sz w:val="20"/>
                <w:szCs w:val="20"/>
              </w:rPr>
            </w:pPr>
            <w:r w:rsidRPr="00583E09">
              <w:rPr>
                <w:rFonts w:ascii="Times New Roman" w:hAnsi="Times New Roman" w:cs="Times New Roman"/>
                <w:sz w:val="20"/>
                <w:szCs w:val="20"/>
              </w:rPr>
              <w:t>Limited to offerings to officers, directors, em</w:t>
            </w:r>
            <w:r>
              <w:rPr>
                <w:rFonts w:ascii="Times New Roman" w:hAnsi="Times New Roman" w:cs="Times New Roman"/>
                <w:sz w:val="20"/>
                <w:szCs w:val="20"/>
              </w:rPr>
              <w:t>ployees and consultants</w:t>
            </w:r>
            <w:r w:rsidRPr="00583E09">
              <w:rPr>
                <w:rFonts w:ascii="Times New Roman" w:hAnsi="Times New Roman" w:cs="Times New Roman"/>
                <w:sz w:val="20"/>
                <w:szCs w:val="20"/>
              </w:rPr>
              <w:t xml:space="preserve"> of issuer as compensation, for example, in a stock purchase or award, stock option plan, or as part of an individual employment agreement.</w:t>
            </w:r>
          </w:p>
        </w:tc>
        <w:tc>
          <w:tcPr>
            <w:tcW w:w="1350" w:type="dxa"/>
          </w:tcPr>
          <w:p w:rsidR="00081EE0" w:rsidRDefault="00081EE0" w:rsidP="009635AF">
            <w:pPr>
              <w:rPr>
                <w:rFonts w:ascii="Times New Roman" w:hAnsi="Times New Roman" w:cs="Times New Roman"/>
                <w:sz w:val="20"/>
                <w:szCs w:val="20"/>
              </w:rPr>
            </w:pPr>
            <w:r w:rsidRPr="00AA5077">
              <w:rPr>
                <w:rFonts w:ascii="Times New Roman" w:hAnsi="Times New Roman" w:cs="Times New Roman"/>
                <w:sz w:val="20"/>
                <w:szCs w:val="20"/>
              </w:rPr>
              <w:t xml:space="preserve">SEC:  None.  </w:t>
            </w:r>
          </w:p>
          <w:p w:rsidR="00081EE0" w:rsidRDefault="00081EE0" w:rsidP="009635AF">
            <w:pPr>
              <w:rPr>
                <w:rFonts w:ascii="Times New Roman" w:hAnsi="Times New Roman" w:cs="Times New Roman"/>
                <w:sz w:val="20"/>
                <w:szCs w:val="20"/>
              </w:rPr>
            </w:pPr>
          </w:p>
          <w:p w:rsidR="00081EE0" w:rsidRPr="00AA5077" w:rsidRDefault="00081EE0" w:rsidP="009635AF">
            <w:pPr>
              <w:rPr>
                <w:rFonts w:ascii="Times New Roman" w:hAnsi="Times New Roman"/>
                <w:sz w:val="20"/>
                <w:szCs w:val="20"/>
              </w:rPr>
            </w:pPr>
            <w:r w:rsidRPr="00AA5077">
              <w:rPr>
                <w:rFonts w:ascii="Times New Roman" w:hAnsi="Times New Roman" w:cs="Times New Roman"/>
                <w:sz w:val="20"/>
                <w:szCs w:val="20"/>
              </w:rPr>
              <w:t>State:  Must comply with state law.</w:t>
            </w:r>
          </w:p>
        </w:tc>
        <w:tc>
          <w:tcPr>
            <w:tcW w:w="1170" w:type="dxa"/>
          </w:tcPr>
          <w:p w:rsidR="00081EE0" w:rsidRPr="00AA5077" w:rsidRDefault="00081EE0" w:rsidP="009635AF">
            <w:pPr>
              <w:rPr>
                <w:rFonts w:ascii="Times New Roman" w:hAnsi="Times New Roman"/>
                <w:sz w:val="20"/>
                <w:szCs w:val="20"/>
              </w:rPr>
            </w:pPr>
            <w:r>
              <w:rPr>
                <w:rFonts w:ascii="Times New Roman" w:hAnsi="Times New Roman" w:cs="Times New Roman"/>
                <w:sz w:val="20"/>
                <w:szCs w:val="20"/>
              </w:rPr>
              <w:t>Restricted S</w:t>
            </w:r>
            <w:r w:rsidRPr="00AA5077">
              <w:rPr>
                <w:rFonts w:ascii="Times New Roman" w:hAnsi="Times New Roman" w:cs="Times New Roman"/>
                <w:sz w:val="20"/>
                <w:szCs w:val="20"/>
              </w:rPr>
              <w:t>ecurities.</w:t>
            </w:r>
          </w:p>
        </w:tc>
        <w:tc>
          <w:tcPr>
            <w:tcW w:w="1363"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B</w:t>
            </w:r>
            <w:r w:rsidRPr="00AA5077">
              <w:rPr>
                <w:rFonts w:ascii="Times New Roman" w:hAnsi="Times New Roman" w:cs="Times New Roman"/>
                <w:sz w:val="20"/>
                <w:szCs w:val="20"/>
              </w:rPr>
              <w:t xml:space="preserve">enefit </w:t>
            </w:r>
            <w:r>
              <w:rPr>
                <w:rFonts w:ascii="Times New Roman" w:hAnsi="Times New Roman" w:cs="Times New Roman"/>
                <w:sz w:val="20"/>
                <w:szCs w:val="20"/>
              </w:rPr>
              <w:t xml:space="preserve">or option </w:t>
            </w:r>
            <w:r w:rsidRPr="00AA5077">
              <w:rPr>
                <w:rFonts w:ascii="Times New Roman" w:hAnsi="Times New Roman" w:cs="Times New Roman"/>
                <w:sz w:val="20"/>
                <w:szCs w:val="20"/>
              </w:rPr>
              <w:t>plan or co</w:t>
            </w:r>
            <w:r>
              <w:rPr>
                <w:rFonts w:ascii="Times New Roman" w:hAnsi="Times New Roman" w:cs="Times New Roman"/>
                <w:sz w:val="20"/>
                <w:szCs w:val="20"/>
              </w:rPr>
              <w:t xml:space="preserve">ntract </w:t>
            </w:r>
            <w:r w:rsidRPr="00AA5077">
              <w:rPr>
                <w:rFonts w:ascii="Times New Roman" w:hAnsi="Times New Roman" w:cs="Times New Roman"/>
                <w:sz w:val="20"/>
                <w:szCs w:val="20"/>
              </w:rPr>
              <w:t>must be provided.  No specific information requirements unless more than $5 million in securities are offered in a 12 month period, in which case n</w:t>
            </w:r>
            <w:r w:rsidR="00D72929">
              <w:rPr>
                <w:rFonts w:ascii="Times New Roman" w:hAnsi="Times New Roman" w:cs="Times New Roman"/>
                <w:sz w:val="20"/>
                <w:szCs w:val="20"/>
              </w:rPr>
              <w:t>o</w:t>
            </w:r>
            <w:r w:rsidRPr="00AA5077">
              <w:rPr>
                <w:rFonts w:ascii="Times New Roman" w:hAnsi="Times New Roman" w:cs="Times New Roman"/>
                <w:sz w:val="20"/>
                <w:szCs w:val="20"/>
              </w:rPr>
              <w:t xml:space="preserve"> specific disclosure information </w:t>
            </w:r>
            <w:r w:rsidR="00D72929">
              <w:rPr>
                <w:rFonts w:ascii="Times New Roman" w:hAnsi="Times New Roman" w:cs="Times New Roman"/>
                <w:sz w:val="20"/>
                <w:szCs w:val="20"/>
              </w:rPr>
              <w:t>need</w:t>
            </w:r>
            <w:bookmarkStart w:id="0" w:name="_GoBack"/>
            <w:bookmarkEnd w:id="0"/>
            <w:r w:rsidRPr="00AA5077">
              <w:rPr>
                <w:rFonts w:ascii="Times New Roman" w:hAnsi="Times New Roman" w:cs="Times New Roman"/>
                <w:sz w:val="20"/>
                <w:szCs w:val="20"/>
              </w:rPr>
              <w:t xml:space="preserve"> be provided.</w:t>
            </w:r>
          </w:p>
          <w:p w:rsidR="00081EE0" w:rsidRPr="008C67E4" w:rsidRDefault="00081EE0" w:rsidP="009635AF">
            <w:pPr>
              <w:rPr>
                <w:rFonts w:ascii="Times New Roman" w:hAnsi="Times New Roman" w:cs="Times New Roman"/>
                <w:sz w:val="20"/>
                <w:szCs w:val="20"/>
              </w:rPr>
            </w:pPr>
          </w:p>
        </w:tc>
      </w:tr>
      <w:tr w:rsidR="00081EE0" w:rsidTr="009635AF">
        <w:tc>
          <w:tcPr>
            <w:tcW w:w="1620" w:type="dxa"/>
          </w:tcPr>
          <w:p w:rsidR="00081EE0" w:rsidRPr="00B46656" w:rsidRDefault="00081EE0" w:rsidP="009635AF">
            <w:pPr>
              <w:rPr>
                <w:rFonts w:ascii="Times New Roman" w:hAnsi="Times New Roman" w:cs="Times New Roman"/>
                <w:sz w:val="20"/>
                <w:szCs w:val="20"/>
              </w:rPr>
            </w:pPr>
            <w:r w:rsidRPr="00B46656">
              <w:rPr>
                <w:rFonts w:ascii="Times New Roman" w:hAnsi="Times New Roman" w:cs="Times New Roman"/>
                <w:sz w:val="20"/>
                <w:szCs w:val="20"/>
              </w:rPr>
              <w:lastRenderedPageBreak/>
              <w:t>Type of Offering</w:t>
            </w:r>
          </w:p>
        </w:tc>
        <w:tc>
          <w:tcPr>
            <w:tcW w:w="1800" w:type="dxa"/>
          </w:tcPr>
          <w:p w:rsidR="00081EE0" w:rsidRPr="00B46656" w:rsidRDefault="00081EE0" w:rsidP="009635AF">
            <w:pPr>
              <w:rPr>
                <w:rFonts w:ascii="Times New Roman" w:hAnsi="Times New Roman" w:cs="Times New Roman"/>
                <w:sz w:val="20"/>
                <w:szCs w:val="20"/>
              </w:rPr>
            </w:pPr>
            <w:r w:rsidRPr="00B46656">
              <w:rPr>
                <w:rFonts w:ascii="Times New Roman" w:hAnsi="Times New Roman" w:cs="Times New Roman"/>
                <w:sz w:val="20"/>
                <w:szCs w:val="20"/>
              </w:rPr>
              <w:t>Aggregate Offering Price Limitation</w:t>
            </w:r>
          </w:p>
        </w:tc>
        <w:tc>
          <w:tcPr>
            <w:tcW w:w="1620" w:type="dxa"/>
          </w:tcPr>
          <w:p w:rsidR="00081EE0" w:rsidRPr="00B46656" w:rsidRDefault="00081EE0" w:rsidP="009635AF">
            <w:pPr>
              <w:rPr>
                <w:rFonts w:ascii="Times New Roman" w:hAnsi="Times New Roman" w:cs="Times New Roman"/>
                <w:sz w:val="20"/>
                <w:szCs w:val="20"/>
              </w:rPr>
            </w:pPr>
            <w:r w:rsidRPr="00B46656">
              <w:rPr>
                <w:rFonts w:ascii="Times New Roman" w:hAnsi="Times New Roman" w:cs="Times New Roman"/>
                <w:sz w:val="20"/>
                <w:szCs w:val="20"/>
              </w:rPr>
              <w:t>Issuer &amp; Investor Requirements</w:t>
            </w:r>
          </w:p>
        </w:tc>
        <w:tc>
          <w:tcPr>
            <w:tcW w:w="1877" w:type="dxa"/>
          </w:tcPr>
          <w:p w:rsidR="00081EE0" w:rsidRPr="00B46656" w:rsidRDefault="00081EE0" w:rsidP="009635AF">
            <w:pPr>
              <w:rPr>
                <w:rFonts w:ascii="Times New Roman" w:hAnsi="Times New Roman" w:cs="Times New Roman"/>
                <w:sz w:val="20"/>
                <w:szCs w:val="20"/>
              </w:rPr>
            </w:pPr>
            <w:r w:rsidRPr="00B46656">
              <w:rPr>
                <w:rFonts w:ascii="Times New Roman" w:hAnsi="Times New Roman" w:cs="Times New Roman"/>
                <w:sz w:val="20"/>
                <w:szCs w:val="20"/>
              </w:rPr>
              <w:t>Limitations on Manner of Offering</w:t>
            </w:r>
          </w:p>
        </w:tc>
        <w:tc>
          <w:tcPr>
            <w:tcW w:w="1350" w:type="dxa"/>
          </w:tcPr>
          <w:p w:rsidR="00081EE0" w:rsidRPr="00B46656" w:rsidRDefault="00081EE0" w:rsidP="009635AF">
            <w:pPr>
              <w:rPr>
                <w:rFonts w:ascii="Times New Roman" w:hAnsi="Times New Roman" w:cs="Times New Roman"/>
                <w:sz w:val="20"/>
                <w:szCs w:val="20"/>
              </w:rPr>
            </w:pPr>
            <w:r w:rsidRPr="00B46656">
              <w:rPr>
                <w:rFonts w:ascii="Times New Roman" w:hAnsi="Times New Roman" w:cs="Times New Roman"/>
                <w:sz w:val="20"/>
                <w:szCs w:val="20"/>
              </w:rPr>
              <w:t>SEC and State Filing Requirements</w:t>
            </w:r>
          </w:p>
        </w:tc>
        <w:tc>
          <w:tcPr>
            <w:tcW w:w="1170" w:type="dxa"/>
          </w:tcPr>
          <w:p w:rsidR="00081EE0" w:rsidRPr="00B46656" w:rsidRDefault="00081EE0" w:rsidP="009635AF">
            <w:pPr>
              <w:rPr>
                <w:rFonts w:ascii="Times New Roman" w:hAnsi="Times New Roman" w:cs="Times New Roman"/>
                <w:sz w:val="20"/>
                <w:szCs w:val="20"/>
              </w:rPr>
            </w:pPr>
            <w:r w:rsidRPr="00B46656">
              <w:rPr>
                <w:rFonts w:ascii="Times New Roman" w:hAnsi="Times New Roman" w:cs="Times New Roman"/>
                <w:sz w:val="20"/>
                <w:szCs w:val="20"/>
              </w:rPr>
              <w:t>Limitations on Resales</w:t>
            </w:r>
          </w:p>
        </w:tc>
        <w:tc>
          <w:tcPr>
            <w:tcW w:w="1363" w:type="dxa"/>
          </w:tcPr>
          <w:p w:rsidR="00081EE0" w:rsidRPr="00B46656" w:rsidRDefault="00081EE0" w:rsidP="009635AF">
            <w:pPr>
              <w:rPr>
                <w:rFonts w:ascii="Times New Roman" w:hAnsi="Times New Roman" w:cs="Times New Roman"/>
                <w:sz w:val="20"/>
                <w:szCs w:val="20"/>
              </w:rPr>
            </w:pPr>
            <w:r w:rsidRPr="00B46656">
              <w:rPr>
                <w:rFonts w:ascii="Times New Roman" w:hAnsi="Times New Roman" w:cs="Times New Roman"/>
                <w:sz w:val="20"/>
                <w:szCs w:val="20"/>
              </w:rPr>
              <w:t>Information Requirements</w:t>
            </w:r>
          </w:p>
        </w:tc>
      </w:tr>
      <w:tr w:rsidR="00081EE0" w:rsidTr="009635AF">
        <w:tc>
          <w:tcPr>
            <w:tcW w:w="1620" w:type="dxa"/>
          </w:tcPr>
          <w:p w:rsidR="00081EE0" w:rsidRDefault="00081EE0" w:rsidP="009635AF">
            <w:pPr>
              <w:rPr>
                <w:rFonts w:ascii="Times New Roman" w:hAnsi="Times New Roman"/>
                <w:sz w:val="20"/>
                <w:szCs w:val="20"/>
              </w:rPr>
            </w:pPr>
          </w:p>
        </w:tc>
        <w:tc>
          <w:tcPr>
            <w:tcW w:w="1800" w:type="dxa"/>
          </w:tcPr>
          <w:p w:rsidR="00081EE0" w:rsidRDefault="00081EE0" w:rsidP="009635AF">
            <w:pPr>
              <w:rPr>
                <w:rFonts w:ascii="Times New Roman" w:hAnsi="Times New Roman"/>
                <w:sz w:val="20"/>
                <w:szCs w:val="20"/>
              </w:rPr>
            </w:pPr>
          </w:p>
        </w:tc>
        <w:tc>
          <w:tcPr>
            <w:tcW w:w="1620" w:type="dxa"/>
          </w:tcPr>
          <w:p w:rsidR="00081EE0" w:rsidRDefault="00081EE0" w:rsidP="009635AF">
            <w:pPr>
              <w:rPr>
                <w:rFonts w:ascii="Times New Roman" w:hAnsi="Times New Roman"/>
                <w:sz w:val="20"/>
                <w:szCs w:val="20"/>
              </w:rPr>
            </w:pPr>
          </w:p>
        </w:tc>
        <w:tc>
          <w:tcPr>
            <w:tcW w:w="1877" w:type="dxa"/>
          </w:tcPr>
          <w:p w:rsidR="00081EE0" w:rsidRDefault="00081EE0" w:rsidP="009635AF">
            <w:pPr>
              <w:rPr>
                <w:rFonts w:ascii="Times New Roman" w:hAnsi="Times New Roman"/>
                <w:sz w:val="20"/>
                <w:szCs w:val="20"/>
              </w:rPr>
            </w:pPr>
          </w:p>
        </w:tc>
        <w:tc>
          <w:tcPr>
            <w:tcW w:w="1350" w:type="dxa"/>
          </w:tcPr>
          <w:p w:rsidR="00081EE0" w:rsidRDefault="00081EE0" w:rsidP="009635AF">
            <w:pPr>
              <w:rPr>
                <w:rFonts w:ascii="Times New Roman" w:hAnsi="Times New Roman"/>
                <w:sz w:val="20"/>
                <w:szCs w:val="20"/>
              </w:rPr>
            </w:pPr>
          </w:p>
        </w:tc>
        <w:tc>
          <w:tcPr>
            <w:tcW w:w="1170" w:type="dxa"/>
          </w:tcPr>
          <w:p w:rsidR="00081EE0" w:rsidRDefault="00081EE0" w:rsidP="009635AF">
            <w:pPr>
              <w:rPr>
                <w:rFonts w:ascii="Times New Roman" w:hAnsi="Times New Roman"/>
                <w:sz w:val="20"/>
                <w:szCs w:val="20"/>
              </w:rPr>
            </w:pPr>
          </w:p>
        </w:tc>
        <w:tc>
          <w:tcPr>
            <w:tcW w:w="1363" w:type="dxa"/>
          </w:tcPr>
          <w:p w:rsidR="00081EE0" w:rsidRDefault="00081EE0" w:rsidP="009635AF">
            <w:pPr>
              <w:rPr>
                <w:rFonts w:ascii="Times New Roman" w:hAnsi="Times New Roman"/>
                <w:sz w:val="20"/>
                <w:szCs w:val="20"/>
              </w:rPr>
            </w:pPr>
          </w:p>
        </w:tc>
      </w:tr>
      <w:tr w:rsidR="00081EE0" w:rsidTr="009635AF">
        <w:tc>
          <w:tcPr>
            <w:tcW w:w="1620" w:type="dxa"/>
          </w:tcPr>
          <w:p w:rsidR="00081EE0" w:rsidRPr="00AB4AEA" w:rsidRDefault="00081EE0" w:rsidP="009635AF">
            <w:pPr>
              <w:rPr>
                <w:rFonts w:ascii="Times New Roman" w:hAnsi="Times New Roman"/>
                <w:sz w:val="20"/>
                <w:szCs w:val="20"/>
              </w:rPr>
            </w:pPr>
            <w:r>
              <w:rPr>
                <w:rFonts w:ascii="Times New Roman" w:hAnsi="Times New Roman"/>
                <w:sz w:val="20"/>
                <w:szCs w:val="20"/>
              </w:rPr>
              <w:t>Securities Act section 4(a)(2)</w:t>
            </w:r>
          </w:p>
        </w:tc>
        <w:tc>
          <w:tcPr>
            <w:tcW w:w="1800" w:type="dxa"/>
          </w:tcPr>
          <w:p w:rsidR="00081EE0" w:rsidRPr="00AB4AEA" w:rsidRDefault="00081EE0" w:rsidP="009635AF">
            <w:pPr>
              <w:rPr>
                <w:rFonts w:ascii="Times New Roman" w:hAnsi="Times New Roman"/>
                <w:sz w:val="20"/>
                <w:szCs w:val="20"/>
              </w:rPr>
            </w:pPr>
            <w:r>
              <w:rPr>
                <w:rFonts w:ascii="Times New Roman" w:hAnsi="Times New Roman"/>
                <w:sz w:val="20"/>
                <w:szCs w:val="20"/>
              </w:rPr>
              <w:t>None.</w:t>
            </w:r>
          </w:p>
        </w:tc>
        <w:tc>
          <w:tcPr>
            <w:tcW w:w="1620" w:type="dxa"/>
          </w:tcPr>
          <w:p w:rsidR="00081EE0" w:rsidRPr="00AB4AEA" w:rsidRDefault="00081EE0" w:rsidP="009635AF">
            <w:pPr>
              <w:rPr>
                <w:rFonts w:ascii="Times New Roman" w:hAnsi="Times New Roman"/>
                <w:sz w:val="20"/>
                <w:szCs w:val="20"/>
              </w:rPr>
            </w:pPr>
            <w:r>
              <w:rPr>
                <w:rFonts w:ascii="Times New Roman" w:hAnsi="Times New Roman"/>
                <w:sz w:val="20"/>
                <w:szCs w:val="20"/>
              </w:rPr>
              <w:t>All investors must meet sophistication and access to information test.</w:t>
            </w:r>
          </w:p>
        </w:tc>
        <w:tc>
          <w:tcPr>
            <w:tcW w:w="1877" w:type="dxa"/>
          </w:tcPr>
          <w:p w:rsidR="00081EE0" w:rsidRPr="00AB4AEA" w:rsidRDefault="00081EE0" w:rsidP="009635AF">
            <w:pPr>
              <w:rPr>
                <w:rFonts w:ascii="Times New Roman" w:hAnsi="Times New Roman"/>
                <w:sz w:val="20"/>
                <w:szCs w:val="20"/>
              </w:rPr>
            </w:pPr>
            <w:r>
              <w:rPr>
                <w:rFonts w:ascii="Times New Roman" w:hAnsi="Times New Roman" w:cs="Times New Roman"/>
                <w:sz w:val="20"/>
                <w:szCs w:val="20"/>
              </w:rPr>
              <w:t>No general solicitation or advertising.</w:t>
            </w:r>
          </w:p>
        </w:tc>
        <w:tc>
          <w:tcPr>
            <w:tcW w:w="135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SEC:  None.</w:t>
            </w:r>
          </w:p>
          <w:p w:rsidR="00081EE0" w:rsidRDefault="00081EE0" w:rsidP="009635AF">
            <w:pPr>
              <w:rPr>
                <w:rFonts w:ascii="Times New Roman" w:hAnsi="Times New Roman" w:cs="Times New Roman"/>
                <w:sz w:val="20"/>
                <w:szCs w:val="20"/>
              </w:rPr>
            </w:pPr>
          </w:p>
          <w:p w:rsidR="00081EE0" w:rsidRPr="00AB4AEA" w:rsidRDefault="00081EE0" w:rsidP="009635AF">
            <w:pPr>
              <w:rPr>
                <w:rFonts w:ascii="Times New Roman" w:hAnsi="Times New Roman"/>
                <w:sz w:val="20"/>
                <w:szCs w:val="20"/>
              </w:rPr>
            </w:pPr>
            <w:r>
              <w:rPr>
                <w:rFonts w:ascii="Times New Roman" w:hAnsi="Times New Roman" w:cs="Times New Roman"/>
                <w:sz w:val="20"/>
                <w:szCs w:val="20"/>
              </w:rPr>
              <w:t>State:  Must comply with state law.</w:t>
            </w:r>
          </w:p>
        </w:tc>
        <w:tc>
          <w:tcPr>
            <w:tcW w:w="1170" w:type="dxa"/>
          </w:tcPr>
          <w:p w:rsidR="00081EE0" w:rsidRPr="00AB4AEA" w:rsidRDefault="00081EE0" w:rsidP="009635AF">
            <w:pPr>
              <w:rPr>
                <w:rFonts w:ascii="Times New Roman" w:hAnsi="Times New Roman"/>
                <w:sz w:val="20"/>
                <w:szCs w:val="20"/>
              </w:rPr>
            </w:pPr>
            <w:r>
              <w:rPr>
                <w:rFonts w:ascii="Times New Roman" w:hAnsi="Times New Roman"/>
                <w:sz w:val="20"/>
                <w:szCs w:val="20"/>
              </w:rPr>
              <w:t>Restricted Securities.</w:t>
            </w:r>
          </w:p>
        </w:tc>
        <w:tc>
          <w:tcPr>
            <w:tcW w:w="1363" w:type="dxa"/>
          </w:tcPr>
          <w:p w:rsidR="00081EE0" w:rsidRPr="00AB4AEA" w:rsidRDefault="00081EE0" w:rsidP="009635AF">
            <w:pPr>
              <w:rPr>
                <w:rFonts w:ascii="Times New Roman" w:hAnsi="Times New Roman"/>
                <w:sz w:val="20"/>
                <w:szCs w:val="20"/>
              </w:rPr>
            </w:pPr>
            <w:r>
              <w:rPr>
                <w:rFonts w:ascii="Times New Roman" w:hAnsi="Times New Roman"/>
                <w:sz w:val="20"/>
                <w:szCs w:val="20"/>
              </w:rPr>
              <w:t>Must comply with state law.</w:t>
            </w:r>
          </w:p>
        </w:tc>
      </w:tr>
      <w:tr w:rsidR="00081EE0" w:rsidTr="009635AF">
        <w:tc>
          <w:tcPr>
            <w:tcW w:w="1620" w:type="dxa"/>
          </w:tcPr>
          <w:p w:rsidR="00081EE0" w:rsidRPr="00AB4AEA" w:rsidRDefault="00081EE0" w:rsidP="009635AF">
            <w:pPr>
              <w:rPr>
                <w:rFonts w:ascii="Times New Roman" w:hAnsi="Times New Roman"/>
                <w:sz w:val="20"/>
                <w:szCs w:val="20"/>
              </w:rPr>
            </w:pPr>
          </w:p>
        </w:tc>
        <w:tc>
          <w:tcPr>
            <w:tcW w:w="1800" w:type="dxa"/>
          </w:tcPr>
          <w:p w:rsidR="00081EE0" w:rsidRPr="00AB4AEA" w:rsidRDefault="00081EE0" w:rsidP="009635AF">
            <w:pPr>
              <w:rPr>
                <w:rFonts w:ascii="Times New Roman" w:hAnsi="Times New Roman"/>
                <w:sz w:val="20"/>
                <w:szCs w:val="20"/>
              </w:rPr>
            </w:pPr>
          </w:p>
        </w:tc>
        <w:tc>
          <w:tcPr>
            <w:tcW w:w="1620" w:type="dxa"/>
          </w:tcPr>
          <w:p w:rsidR="00081EE0" w:rsidRPr="00AB4AEA" w:rsidRDefault="00081EE0" w:rsidP="009635AF">
            <w:pPr>
              <w:rPr>
                <w:rFonts w:ascii="Times New Roman" w:hAnsi="Times New Roman"/>
                <w:sz w:val="20"/>
                <w:szCs w:val="20"/>
              </w:rPr>
            </w:pPr>
          </w:p>
        </w:tc>
        <w:tc>
          <w:tcPr>
            <w:tcW w:w="1877" w:type="dxa"/>
          </w:tcPr>
          <w:p w:rsidR="00081EE0" w:rsidRPr="00AB4AEA" w:rsidRDefault="00081EE0" w:rsidP="009635AF">
            <w:pPr>
              <w:rPr>
                <w:rFonts w:ascii="Times New Roman" w:hAnsi="Times New Roman"/>
                <w:sz w:val="20"/>
                <w:szCs w:val="20"/>
              </w:rPr>
            </w:pPr>
          </w:p>
        </w:tc>
        <w:tc>
          <w:tcPr>
            <w:tcW w:w="1350" w:type="dxa"/>
          </w:tcPr>
          <w:p w:rsidR="00081EE0" w:rsidRPr="00AB4AEA" w:rsidRDefault="00081EE0" w:rsidP="009635AF">
            <w:pPr>
              <w:rPr>
                <w:rFonts w:ascii="Times New Roman" w:hAnsi="Times New Roman"/>
                <w:sz w:val="20"/>
                <w:szCs w:val="20"/>
              </w:rPr>
            </w:pPr>
          </w:p>
        </w:tc>
        <w:tc>
          <w:tcPr>
            <w:tcW w:w="1170" w:type="dxa"/>
          </w:tcPr>
          <w:p w:rsidR="00081EE0" w:rsidRPr="00AB4AEA" w:rsidRDefault="00081EE0" w:rsidP="009635AF">
            <w:pPr>
              <w:rPr>
                <w:rFonts w:ascii="Times New Roman" w:hAnsi="Times New Roman"/>
                <w:sz w:val="20"/>
                <w:szCs w:val="20"/>
              </w:rPr>
            </w:pPr>
          </w:p>
        </w:tc>
        <w:tc>
          <w:tcPr>
            <w:tcW w:w="1363" w:type="dxa"/>
          </w:tcPr>
          <w:p w:rsidR="00081EE0" w:rsidRPr="00AB4AEA" w:rsidRDefault="00081EE0" w:rsidP="009635AF">
            <w:pPr>
              <w:rPr>
                <w:rFonts w:ascii="Times New Roman" w:hAnsi="Times New Roman"/>
                <w:sz w:val="20"/>
                <w:szCs w:val="20"/>
              </w:rPr>
            </w:pPr>
          </w:p>
        </w:tc>
      </w:tr>
      <w:tr w:rsidR="00081EE0" w:rsidTr="009635AF">
        <w:tc>
          <w:tcPr>
            <w:tcW w:w="1620" w:type="dxa"/>
          </w:tcPr>
          <w:p w:rsidR="00081EE0" w:rsidRPr="00AB4AEA" w:rsidRDefault="00081EE0" w:rsidP="009635AF">
            <w:pPr>
              <w:rPr>
                <w:rFonts w:ascii="Times New Roman" w:hAnsi="Times New Roman"/>
                <w:sz w:val="20"/>
                <w:szCs w:val="20"/>
              </w:rPr>
            </w:pPr>
            <w:r>
              <w:rPr>
                <w:rFonts w:ascii="Times New Roman" w:hAnsi="Times New Roman"/>
                <w:sz w:val="20"/>
                <w:szCs w:val="20"/>
              </w:rPr>
              <w:t>Securities Act section 4(a)(6) “Crowdfunding”</w:t>
            </w:r>
          </w:p>
        </w:tc>
        <w:tc>
          <w:tcPr>
            <w:tcW w:w="1800" w:type="dxa"/>
          </w:tcPr>
          <w:p w:rsidR="00081EE0" w:rsidRPr="00AB4AEA" w:rsidRDefault="00081EE0" w:rsidP="009635AF">
            <w:pPr>
              <w:rPr>
                <w:rFonts w:ascii="Times New Roman" w:hAnsi="Times New Roman"/>
                <w:sz w:val="20"/>
                <w:szCs w:val="20"/>
              </w:rPr>
            </w:pPr>
            <w:r>
              <w:rPr>
                <w:rFonts w:ascii="Times New Roman" w:hAnsi="Times New Roman" w:cs="Times New Roman"/>
                <w:sz w:val="20"/>
                <w:szCs w:val="20"/>
              </w:rPr>
              <w:t>$1.07 million within 12 months.</w:t>
            </w:r>
          </w:p>
        </w:tc>
        <w:tc>
          <w:tcPr>
            <w:tcW w:w="162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Issuers must use registered broker-dealer or funding portal.</w:t>
            </w:r>
          </w:p>
          <w:p w:rsidR="00081EE0" w:rsidRPr="00AB4AEA" w:rsidRDefault="00081EE0" w:rsidP="00C377B4">
            <w:pPr>
              <w:rPr>
                <w:rFonts w:ascii="Times New Roman" w:hAnsi="Times New Roman"/>
                <w:sz w:val="20"/>
                <w:szCs w:val="20"/>
              </w:rPr>
            </w:pPr>
            <w:r>
              <w:rPr>
                <w:rFonts w:ascii="Times New Roman" w:hAnsi="Times New Roman" w:cs="Times New Roman"/>
                <w:sz w:val="20"/>
                <w:szCs w:val="20"/>
              </w:rPr>
              <w:t xml:space="preserve">Investors may invest greater of $2,200 or 5% of annual income or net worth, if both are under $107,000; or greater of 10% of annual income or net worth, if either is $107,000 or more.  </w:t>
            </w:r>
          </w:p>
        </w:tc>
        <w:tc>
          <w:tcPr>
            <w:tcW w:w="1877" w:type="dxa"/>
          </w:tcPr>
          <w:p w:rsidR="00081EE0" w:rsidRPr="00AB4AEA" w:rsidRDefault="00081EE0" w:rsidP="009635AF">
            <w:pPr>
              <w:rPr>
                <w:rFonts w:ascii="Times New Roman" w:hAnsi="Times New Roman"/>
                <w:sz w:val="20"/>
                <w:szCs w:val="20"/>
              </w:rPr>
            </w:pPr>
            <w:r>
              <w:rPr>
                <w:rFonts w:ascii="Times New Roman" w:hAnsi="Times New Roman" w:cs="Times New Roman"/>
                <w:sz w:val="20"/>
                <w:szCs w:val="20"/>
              </w:rPr>
              <w:t>No general solicitation or advertising except as expressly provided.</w:t>
            </w:r>
          </w:p>
        </w:tc>
        <w:tc>
          <w:tcPr>
            <w:tcW w:w="135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SEC:  File Offering Statement on Form C.  Ongoing reporting.</w:t>
            </w:r>
          </w:p>
          <w:p w:rsidR="00081EE0" w:rsidRDefault="00081EE0" w:rsidP="009635AF">
            <w:pPr>
              <w:rPr>
                <w:rFonts w:ascii="Times New Roman" w:hAnsi="Times New Roman" w:cs="Times New Roman"/>
                <w:sz w:val="20"/>
                <w:szCs w:val="20"/>
              </w:rPr>
            </w:pPr>
          </w:p>
          <w:p w:rsidR="00081EE0" w:rsidRPr="00AB4AEA" w:rsidRDefault="00081EE0" w:rsidP="009635AF">
            <w:pPr>
              <w:rPr>
                <w:rFonts w:ascii="Times New Roman" w:hAnsi="Times New Roman"/>
                <w:sz w:val="20"/>
                <w:szCs w:val="20"/>
              </w:rPr>
            </w:pPr>
            <w:r>
              <w:rPr>
                <w:rFonts w:ascii="Times New Roman" w:hAnsi="Times New Roman" w:cs="Times New Roman"/>
                <w:sz w:val="20"/>
                <w:szCs w:val="20"/>
              </w:rPr>
              <w:t>State:  Exempt as “Covered Securities.”</w:t>
            </w:r>
          </w:p>
        </w:tc>
        <w:tc>
          <w:tcPr>
            <w:tcW w:w="1170" w:type="dxa"/>
          </w:tcPr>
          <w:p w:rsidR="00081EE0" w:rsidRPr="00AB4AEA" w:rsidRDefault="00081EE0" w:rsidP="009635AF">
            <w:pPr>
              <w:rPr>
                <w:rFonts w:ascii="Times New Roman" w:hAnsi="Times New Roman"/>
                <w:sz w:val="20"/>
                <w:szCs w:val="20"/>
              </w:rPr>
            </w:pPr>
            <w:r>
              <w:rPr>
                <w:rFonts w:ascii="Times New Roman" w:hAnsi="Times New Roman" w:cs="Times New Roman"/>
                <w:sz w:val="20"/>
                <w:szCs w:val="20"/>
              </w:rPr>
              <w:t>Restricted Securities for one year.</w:t>
            </w:r>
          </w:p>
        </w:tc>
        <w:tc>
          <w:tcPr>
            <w:tcW w:w="1363" w:type="dxa"/>
          </w:tcPr>
          <w:p w:rsidR="00081EE0" w:rsidRPr="00223BD2" w:rsidRDefault="00081EE0" w:rsidP="009635AF">
            <w:pPr>
              <w:rPr>
                <w:rFonts w:ascii="Times New Roman" w:hAnsi="Times New Roman"/>
                <w:sz w:val="20"/>
                <w:szCs w:val="20"/>
              </w:rPr>
            </w:pPr>
            <w:r>
              <w:rPr>
                <w:rFonts w:ascii="Times New Roman" w:hAnsi="Times New Roman"/>
                <w:sz w:val="20"/>
                <w:szCs w:val="20"/>
              </w:rPr>
              <w:t>None.</w:t>
            </w:r>
          </w:p>
        </w:tc>
      </w:tr>
      <w:tr w:rsidR="00081EE0" w:rsidTr="009635AF">
        <w:tc>
          <w:tcPr>
            <w:tcW w:w="1620" w:type="dxa"/>
          </w:tcPr>
          <w:p w:rsidR="00081EE0" w:rsidRPr="00AB4AEA" w:rsidRDefault="00081EE0" w:rsidP="009635AF">
            <w:pPr>
              <w:rPr>
                <w:rFonts w:ascii="Times New Roman" w:hAnsi="Times New Roman"/>
                <w:sz w:val="20"/>
                <w:szCs w:val="20"/>
              </w:rPr>
            </w:pPr>
          </w:p>
        </w:tc>
        <w:tc>
          <w:tcPr>
            <w:tcW w:w="1800" w:type="dxa"/>
          </w:tcPr>
          <w:p w:rsidR="00081EE0" w:rsidRPr="00AB4AEA" w:rsidRDefault="00081EE0" w:rsidP="009635AF">
            <w:pPr>
              <w:rPr>
                <w:rFonts w:ascii="Times New Roman" w:hAnsi="Times New Roman"/>
                <w:sz w:val="20"/>
                <w:szCs w:val="20"/>
              </w:rPr>
            </w:pPr>
          </w:p>
        </w:tc>
        <w:tc>
          <w:tcPr>
            <w:tcW w:w="1620" w:type="dxa"/>
          </w:tcPr>
          <w:p w:rsidR="00081EE0" w:rsidRPr="00AB4AEA" w:rsidRDefault="00081EE0" w:rsidP="009635AF">
            <w:pPr>
              <w:rPr>
                <w:rFonts w:ascii="Times New Roman" w:hAnsi="Times New Roman"/>
                <w:sz w:val="20"/>
                <w:szCs w:val="20"/>
              </w:rPr>
            </w:pPr>
          </w:p>
        </w:tc>
        <w:tc>
          <w:tcPr>
            <w:tcW w:w="1877" w:type="dxa"/>
          </w:tcPr>
          <w:p w:rsidR="00081EE0" w:rsidRPr="00AB4AEA" w:rsidRDefault="00081EE0" w:rsidP="009635AF">
            <w:pPr>
              <w:rPr>
                <w:rFonts w:ascii="Times New Roman" w:hAnsi="Times New Roman"/>
                <w:sz w:val="20"/>
                <w:szCs w:val="20"/>
              </w:rPr>
            </w:pPr>
          </w:p>
        </w:tc>
        <w:tc>
          <w:tcPr>
            <w:tcW w:w="1350" w:type="dxa"/>
          </w:tcPr>
          <w:p w:rsidR="00081EE0" w:rsidRPr="00AB4AEA" w:rsidRDefault="00081EE0" w:rsidP="009635AF">
            <w:pPr>
              <w:rPr>
                <w:rFonts w:ascii="Times New Roman" w:hAnsi="Times New Roman"/>
                <w:sz w:val="20"/>
                <w:szCs w:val="20"/>
              </w:rPr>
            </w:pPr>
          </w:p>
        </w:tc>
        <w:tc>
          <w:tcPr>
            <w:tcW w:w="1170" w:type="dxa"/>
          </w:tcPr>
          <w:p w:rsidR="00081EE0" w:rsidRPr="00AB4AEA" w:rsidRDefault="00081EE0" w:rsidP="009635AF">
            <w:pPr>
              <w:rPr>
                <w:rFonts w:ascii="Times New Roman" w:hAnsi="Times New Roman"/>
                <w:sz w:val="20"/>
                <w:szCs w:val="20"/>
              </w:rPr>
            </w:pPr>
          </w:p>
        </w:tc>
        <w:tc>
          <w:tcPr>
            <w:tcW w:w="1363" w:type="dxa"/>
          </w:tcPr>
          <w:p w:rsidR="00081EE0" w:rsidRPr="00AB4AEA" w:rsidRDefault="00081EE0" w:rsidP="009635AF">
            <w:pPr>
              <w:rPr>
                <w:rFonts w:ascii="Times New Roman" w:hAnsi="Times New Roman"/>
                <w:sz w:val="20"/>
                <w:szCs w:val="20"/>
              </w:rPr>
            </w:pPr>
          </w:p>
        </w:tc>
      </w:tr>
      <w:tr w:rsidR="00081EE0" w:rsidTr="009635AF">
        <w:tc>
          <w:tcPr>
            <w:tcW w:w="1620" w:type="dxa"/>
          </w:tcPr>
          <w:p w:rsidR="00081EE0" w:rsidRPr="00AB4AEA" w:rsidRDefault="00081EE0" w:rsidP="009635AF">
            <w:pPr>
              <w:rPr>
                <w:rFonts w:ascii="Times New Roman" w:hAnsi="Times New Roman"/>
                <w:sz w:val="20"/>
                <w:szCs w:val="20"/>
              </w:rPr>
            </w:pPr>
            <w:r>
              <w:rPr>
                <w:rFonts w:ascii="Times New Roman" w:hAnsi="Times New Roman"/>
                <w:sz w:val="20"/>
                <w:szCs w:val="20"/>
              </w:rPr>
              <w:t>Securities Act section 3(a)(11) and Rules 147and 147A</w:t>
            </w:r>
          </w:p>
        </w:tc>
        <w:tc>
          <w:tcPr>
            <w:tcW w:w="1800" w:type="dxa"/>
          </w:tcPr>
          <w:p w:rsidR="00081EE0" w:rsidRPr="00AB4AEA" w:rsidRDefault="00081EE0" w:rsidP="009635AF">
            <w:pPr>
              <w:rPr>
                <w:rFonts w:ascii="Times New Roman" w:hAnsi="Times New Roman"/>
                <w:sz w:val="20"/>
                <w:szCs w:val="20"/>
              </w:rPr>
            </w:pPr>
            <w:r>
              <w:rPr>
                <w:rFonts w:ascii="Times New Roman" w:hAnsi="Times New Roman"/>
                <w:sz w:val="20"/>
                <w:szCs w:val="20"/>
              </w:rPr>
              <w:t>None.</w:t>
            </w:r>
          </w:p>
        </w:tc>
        <w:tc>
          <w:tcPr>
            <w:tcW w:w="162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Rule 147:  I</w:t>
            </w:r>
            <w:r w:rsidRPr="00C64613">
              <w:rPr>
                <w:rFonts w:ascii="Times New Roman" w:hAnsi="Times New Roman" w:cs="Times New Roman"/>
                <w:sz w:val="20"/>
                <w:szCs w:val="20"/>
              </w:rPr>
              <w:t>ssuer and investors must be residents of the same state or territory.</w:t>
            </w:r>
          </w:p>
          <w:p w:rsidR="00081EE0" w:rsidRDefault="00081EE0" w:rsidP="009635AF">
            <w:pPr>
              <w:rPr>
                <w:rFonts w:ascii="Times New Roman" w:hAnsi="Times New Roman" w:cs="Times New Roman"/>
                <w:sz w:val="20"/>
                <w:szCs w:val="20"/>
              </w:rPr>
            </w:pPr>
          </w:p>
          <w:p w:rsidR="00081EE0" w:rsidRPr="00C64613" w:rsidRDefault="00081EE0" w:rsidP="009635AF">
            <w:pPr>
              <w:rPr>
                <w:rFonts w:ascii="Times New Roman" w:hAnsi="Times New Roman"/>
                <w:sz w:val="20"/>
                <w:szCs w:val="20"/>
              </w:rPr>
            </w:pPr>
            <w:r>
              <w:rPr>
                <w:rFonts w:ascii="Times New Roman" w:hAnsi="Times New Roman" w:cs="Times New Roman"/>
                <w:sz w:val="20"/>
                <w:szCs w:val="20"/>
              </w:rPr>
              <w:t>Rule 147A:  Issuer need not be organized or managed in-state.</w:t>
            </w:r>
          </w:p>
        </w:tc>
        <w:tc>
          <w:tcPr>
            <w:tcW w:w="1877" w:type="dxa"/>
          </w:tcPr>
          <w:p w:rsidR="00081EE0" w:rsidRDefault="00081EE0" w:rsidP="009635AF">
            <w:pPr>
              <w:rPr>
                <w:rFonts w:ascii="Times New Roman" w:hAnsi="Times New Roman"/>
                <w:sz w:val="20"/>
                <w:szCs w:val="20"/>
              </w:rPr>
            </w:pPr>
            <w:r>
              <w:rPr>
                <w:rFonts w:ascii="Times New Roman" w:hAnsi="Times New Roman"/>
                <w:sz w:val="20"/>
                <w:szCs w:val="20"/>
              </w:rPr>
              <w:t>Must comply with state law.</w:t>
            </w: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p>
          <w:p w:rsidR="00081EE0" w:rsidRDefault="00081EE0" w:rsidP="009635AF">
            <w:pPr>
              <w:rPr>
                <w:rFonts w:ascii="Times New Roman" w:hAnsi="Times New Roman"/>
                <w:sz w:val="20"/>
                <w:szCs w:val="20"/>
              </w:rPr>
            </w:pPr>
            <w:r>
              <w:rPr>
                <w:rFonts w:ascii="Times New Roman" w:hAnsi="Times New Roman"/>
                <w:sz w:val="20"/>
                <w:szCs w:val="20"/>
              </w:rPr>
              <w:t xml:space="preserve">General solicitation permitted. </w:t>
            </w:r>
          </w:p>
          <w:p w:rsidR="00081EE0" w:rsidRPr="00AB4AEA" w:rsidRDefault="00081EE0" w:rsidP="009635AF">
            <w:pPr>
              <w:rPr>
                <w:rFonts w:ascii="Times New Roman" w:hAnsi="Times New Roman"/>
                <w:sz w:val="20"/>
                <w:szCs w:val="20"/>
              </w:rPr>
            </w:pPr>
          </w:p>
        </w:tc>
        <w:tc>
          <w:tcPr>
            <w:tcW w:w="1350" w:type="dxa"/>
          </w:tcPr>
          <w:p w:rsidR="00081EE0" w:rsidRDefault="00081EE0" w:rsidP="009635AF">
            <w:pPr>
              <w:rPr>
                <w:rFonts w:ascii="Times New Roman" w:hAnsi="Times New Roman"/>
                <w:sz w:val="20"/>
                <w:szCs w:val="20"/>
              </w:rPr>
            </w:pPr>
            <w:r>
              <w:rPr>
                <w:rFonts w:ascii="Times New Roman" w:hAnsi="Times New Roman"/>
                <w:sz w:val="20"/>
                <w:szCs w:val="20"/>
              </w:rPr>
              <w:t>SEC:  None.</w:t>
            </w:r>
          </w:p>
          <w:p w:rsidR="00081EE0" w:rsidRDefault="00081EE0" w:rsidP="009635AF">
            <w:pPr>
              <w:rPr>
                <w:rFonts w:ascii="Times New Roman" w:hAnsi="Times New Roman"/>
                <w:sz w:val="20"/>
                <w:szCs w:val="20"/>
              </w:rPr>
            </w:pPr>
          </w:p>
          <w:p w:rsidR="00081EE0" w:rsidRPr="00AB4AEA" w:rsidRDefault="00081EE0" w:rsidP="009635AF">
            <w:pPr>
              <w:rPr>
                <w:rFonts w:ascii="Times New Roman" w:hAnsi="Times New Roman"/>
                <w:sz w:val="20"/>
                <w:szCs w:val="20"/>
              </w:rPr>
            </w:pPr>
            <w:r>
              <w:rPr>
                <w:rFonts w:ascii="Times New Roman" w:hAnsi="Times New Roman"/>
                <w:sz w:val="20"/>
                <w:szCs w:val="20"/>
              </w:rPr>
              <w:t>State:  Must comply with state law.</w:t>
            </w:r>
          </w:p>
        </w:tc>
        <w:tc>
          <w:tcPr>
            <w:tcW w:w="117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S</w:t>
            </w:r>
            <w:r w:rsidRPr="00C64613">
              <w:rPr>
                <w:rFonts w:ascii="Times New Roman" w:hAnsi="Times New Roman" w:cs="Times New Roman"/>
                <w:sz w:val="20"/>
                <w:szCs w:val="20"/>
              </w:rPr>
              <w:t xml:space="preserve">ecurities are restricted from resale to non-residents of the state or territory for </w:t>
            </w:r>
            <w:r>
              <w:rPr>
                <w:rFonts w:ascii="Times New Roman" w:hAnsi="Times New Roman" w:cs="Times New Roman"/>
                <w:sz w:val="20"/>
                <w:szCs w:val="20"/>
              </w:rPr>
              <w:t>six</w:t>
            </w:r>
            <w:r w:rsidRPr="00C64613">
              <w:rPr>
                <w:rFonts w:ascii="Times New Roman" w:hAnsi="Times New Roman" w:cs="Times New Roman"/>
                <w:sz w:val="20"/>
                <w:szCs w:val="20"/>
              </w:rPr>
              <w:t xml:space="preserve"> months.</w:t>
            </w: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Default="00081EE0" w:rsidP="009635AF">
            <w:pPr>
              <w:rPr>
                <w:rFonts w:ascii="Times New Roman" w:hAnsi="Times New Roman" w:cs="Times New Roman"/>
                <w:sz w:val="20"/>
                <w:szCs w:val="20"/>
              </w:rPr>
            </w:pPr>
          </w:p>
          <w:p w:rsidR="00081EE0" w:rsidRPr="00C64613" w:rsidRDefault="00081EE0" w:rsidP="009635AF">
            <w:pPr>
              <w:rPr>
                <w:rFonts w:ascii="Times New Roman" w:hAnsi="Times New Roman"/>
                <w:sz w:val="20"/>
                <w:szCs w:val="20"/>
              </w:rPr>
            </w:pPr>
          </w:p>
        </w:tc>
        <w:tc>
          <w:tcPr>
            <w:tcW w:w="1363" w:type="dxa"/>
          </w:tcPr>
          <w:p w:rsidR="00081EE0" w:rsidRPr="00AB4AEA" w:rsidRDefault="00081EE0" w:rsidP="009635AF">
            <w:pPr>
              <w:rPr>
                <w:rFonts w:ascii="Times New Roman" w:hAnsi="Times New Roman"/>
                <w:sz w:val="20"/>
                <w:szCs w:val="20"/>
              </w:rPr>
            </w:pPr>
            <w:r>
              <w:rPr>
                <w:rFonts w:ascii="Times New Roman" w:hAnsi="Times New Roman"/>
                <w:sz w:val="20"/>
                <w:szCs w:val="20"/>
              </w:rPr>
              <w:t>Must comply with state law.</w:t>
            </w:r>
          </w:p>
        </w:tc>
      </w:tr>
      <w:tr w:rsidR="00081EE0" w:rsidTr="009635AF">
        <w:tc>
          <w:tcPr>
            <w:tcW w:w="1620" w:type="dxa"/>
          </w:tcPr>
          <w:p w:rsidR="00081EE0" w:rsidRDefault="00081EE0" w:rsidP="009635AF">
            <w:pPr>
              <w:rPr>
                <w:rFonts w:ascii="Times New Roman" w:hAnsi="Times New Roman"/>
                <w:sz w:val="20"/>
                <w:szCs w:val="20"/>
              </w:rPr>
            </w:pPr>
            <w:r>
              <w:rPr>
                <w:rFonts w:ascii="Times New Roman" w:hAnsi="Times New Roman"/>
                <w:sz w:val="20"/>
                <w:szCs w:val="20"/>
              </w:rPr>
              <w:lastRenderedPageBreak/>
              <w:t>Type of Offering</w:t>
            </w:r>
          </w:p>
        </w:tc>
        <w:tc>
          <w:tcPr>
            <w:tcW w:w="1800" w:type="dxa"/>
          </w:tcPr>
          <w:p w:rsidR="00081EE0" w:rsidRDefault="00081EE0" w:rsidP="009635AF">
            <w:pPr>
              <w:rPr>
                <w:rFonts w:ascii="Times New Roman" w:hAnsi="Times New Roman"/>
                <w:sz w:val="20"/>
                <w:szCs w:val="20"/>
              </w:rPr>
            </w:pPr>
            <w:r>
              <w:rPr>
                <w:rFonts w:ascii="Times New Roman" w:hAnsi="Times New Roman"/>
                <w:sz w:val="20"/>
                <w:szCs w:val="20"/>
              </w:rPr>
              <w:t>Aggregate Offering Price Limitation</w:t>
            </w:r>
          </w:p>
        </w:tc>
        <w:tc>
          <w:tcPr>
            <w:tcW w:w="1620" w:type="dxa"/>
          </w:tcPr>
          <w:p w:rsidR="00081EE0" w:rsidRPr="00B46656" w:rsidRDefault="00081EE0" w:rsidP="009635AF">
            <w:pPr>
              <w:rPr>
                <w:rFonts w:ascii="Times New Roman" w:hAnsi="Times New Roman"/>
                <w:sz w:val="20"/>
                <w:szCs w:val="20"/>
              </w:rPr>
            </w:pPr>
            <w:r>
              <w:rPr>
                <w:rFonts w:ascii="Times New Roman" w:hAnsi="Times New Roman"/>
                <w:sz w:val="20"/>
                <w:szCs w:val="20"/>
              </w:rPr>
              <w:t>Issuer &amp; Investor Requirements</w:t>
            </w:r>
          </w:p>
        </w:tc>
        <w:tc>
          <w:tcPr>
            <w:tcW w:w="1877" w:type="dxa"/>
          </w:tcPr>
          <w:p w:rsidR="00081EE0" w:rsidRPr="00B46656" w:rsidRDefault="00081EE0" w:rsidP="009635AF">
            <w:pPr>
              <w:rPr>
                <w:rFonts w:ascii="Times New Roman" w:hAnsi="Times New Roman"/>
                <w:sz w:val="20"/>
                <w:szCs w:val="20"/>
              </w:rPr>
            </w:pPr>
            <w:r>
              <w:rPr>
                <w:rFonts w:ascii="Times New Roman" w:hAnsi="Times New Roman"/>
                <w:sz w:val="20"/>
                <w:szCs w:val="20"/>
              </w:rPr>
              <w:t>Limitations on Manner of Offering</w:t>
            </w:r>
          </w:p>
        </w:tc>
        <w:tc>
          <w:tcPr>
            <w:tcW w:w="1350" w:type="dxa"/>
          </w:tcPr>
          <w:p w:rsidR="00081EE0" w:rsidRPr="00B46656" w:rsidRDefault="00081EE0" w:rsidP="009635AF">
            <w:pPr>
              <w:rPr>
                <w:rFonts w:ascii="Times New Roman" w:hAnsi="Times New Roman"/>
                <w:sz w:val="20"/>
                <w:szCs w:val="20"/>
              </w:rPr>
            </w:pPr>
            <w:r>
              <w:rPr>
                <w:rFonts w:ascii="Times New Roman" w:hAnsi="Times New Roman"/>
                <w:sz w:val="20"/>
                <w:szCs w:val="20"/>
              </w:rPr>
              <w:t>SEC and State Filing Requirements</w:t>
            </w:r>
          </w:p>
        </w:tc>
        <w:tc>
          <w:tcPr>
            <w:tcW w:w="1170" w:type="dxa"/>
          </w:tcPr>
          <w:p w:rsidR="00081EE0" w:rsidRDefault="00081EE0" w:rsidP="009635AF">
            <w:pPr>
              <w:rPr>
                <w:rFonts w:ascii="Times New Roman" w:hAnsi="Times New Roman"/>
                <w:sz w:val="20"/>
                <w:szCs w:val="20"/>
              </w:rPr>
            </w:pPr>
            <w:r>
              <w:rPr>
                <w:rFonts w:ascii="Times New Roman" w:hAnsi="Times New Roman"/>
                <w:sz w:val="20"/>
                <w:szCs w:val="20"/>
              </w:rPr>
              <w:t>Limitations on Resales</w:t>
            </w:r>
          </w:p>
        </w:tc>
        <w:tc>
          <w:tcPr>
            <w:tcW w:w="1363" w:type="dxa"/>
          </w:tcPr>
          <w:p w:rsidR="00081EE0" w:rsidRDefault="00081EE0" w:rsidP="009635AF">
            <w:pPr>
              <w:rPr>
                <w:rFonts w:ascii="Times New Roman" w:hAnsi="Times New Roman"/>
                <w:sz w:val="20"/>
                <w:szCs w:val="20"/>
              </w:rPr>
            </w:pPr>
            <w:r>
              <w:rPr>
                <w:rFonts w:ascii="Times New Roman" w:hAnsi="Times New Roman"/>
                <w:sz w:val="20"/>
                <w:szCs w:val="20"/>
              </w:rPr>
              <w:t>Information Requirements</w:t>
            </w:r>
          </w:p>
        </w:tc>
      </w:tr>
      <w:tr w:rsidR="00081EE0" w:rsidTr="009635AF">
        <w:tc>
          <w:tcPr>
            <w:tcW w:w="1620" w:type="dxa"/>
          </w:tcPr>
          <w:p w:rsidR="00081EE0" w:rsidRDefault="00081EE0" w:rsidP="009635AF">
            <w:pPr>
              <w:rPr>
                <w:rFonts w:ascii="Times New Roman" w:hAnsi="Times New Roman"/>
                <w:sz w:val="20"/>
                <w:szCs w:val="20"/>
              </w:rPr>
            </w:pPr>
          </w:p>
        </w:tc>
        <w:tc>
          <w:tcPr>
            <w:tcW w:w="1800" w:type="dxa"/>
          </w:tcPr>
          <w:p w:rsidR="00081EE0" w:rsidRDefault="00081EE0" w:rsidP="009635AF">
            <w:pPr>
              <w:rPr>
                <w:rFonts w:ascii="Times New Roman" w:hAnsi="Times New Roman"/>
                <w:sz w:val="20"/>
                <w:szCs w:val="20"/>
              </w:rPr>
            </w:pPr>
          </w:p>
        </w:tc>
        <w:tc>
          <w:tcPr>
            <w:tcW w:w="1620" w:type="dxa"/>
          </w:tcPr>
          <w:p w:rsidR="00081EE0" w:rsidRPr="00B46656" w:rsidRDefault="00081EE0" w:rsidP="009635AF">
            <w:pPr>
              <w:rPr>
                <w:rFonts w:ascii="Times New Roman" w:hAnsi="Times New Roman"/>
                <w:sz w:val="20"/>
                <w:szCs w:val="20"/>
              </w:rPr>
            </w:pPr>
          </w:p>
        </w:tc>
        <w:tc>
          <w:tcPr>
            <w:tcW w:w="1877" w:type="dxa"/>
          </w:tcPr>
          <w:p w:rsidR="00081EE0" w:rsidRPr="00B46656" w:rsidRDefault="00081EE0" w:rsidP="009635AF">
            <w:pPr>
              <w:rPr>
                <w:rFonts w:ascii="Times New Roman" w:hAnsi="Times New Roman"/>
                <w:sz w:val="20"/>
                <w:szCs w:val="20"/>
              </w:rPr>
            </w:pPr>
          </w:p>
        </w:tc>
        <w:tc>
          <w:tcPr>
            <w:tcW w:w="1350" w:type="dxa"/>
          </w:tcPr>
          <w:p w:rsidR="00081EE0" w:rsidRPr="00B46656" w:rsidRDefault="00081EE0" w:rsidP="009635AF">
            <w:pPr>
              <w:rPr>
                <w:rFonts w:ascii="Times New Roman" w:hAnsi="Times New Roman"/>
                <w:sz w:val="20"/>
                <w:szCs w:val="20"/>
              </w:rPr>
            </w:pPr>
          </w:p>
        </w:tc>
        <w:tc>
          <w:tcPr>
            <w:tcW w:w="1170" w:type="dxa"/>
          </w:tcPr>
          <w:p w:rsidR="00081EE0" w:rsidRDefault="00081EE0" w:rsidP="009635AF">
            <w:pPr>
              <w:rPr>
                <w:rFonts w:ascii="Times New Roman" w:hAnsi="Times New Roman"/>
                <w:sz w:val="20"/>
                <w:szCs w:val="20"/>
              </w:rPr>
            </w:pPr>
          </w:p>
        </w:tc>
        <w:tc>
          <w:tcPr>
            <w:tcW w:w="1363" w:type="dxa"/>
          </w:tcPr>
          <w:p w:rsidR="00081EE0" w:rsidRDefault="00081EE0" w:rsidP="009635AF">
            <w:pPr>
              <w:rPr>
                <w:rFonts w:ascii="Times New Roman" w:hAnsi="Times New Roman"/>
                <w:sz w:val="20"/>
                <w:szCs w:val="20"/>
              </w:rPr>
            </w:pPr>
          </w:p>
        </w:tc>
      </w:tr>
      <w:tr w:rsidR="00081EE0" w:rsidTr="009635AF">
        <w:tc>
          <w:tcPr>
            <w:tcW w:w="1620" w:type="dxa"/>
          </w:tcPr>
          <w:p w:rsidR="00081EE0" w:rsidRPr="00AB4AEA" w:rsidRDefault="00081EE0" w:rsidP="009635AF">
            <w:pPr>
              <w:rPr>
                <w:rFonts w:ascii="Times New Roman" w:hAnsi="Times New Roman"/>
                <w:sz w:val="20"/>
                <w:szCs w:val="20"/>
              </w:rPr>
            </w:pPr>
            <w:r>
              <w:rPr>
                <w:rFonts w:ascii="Times New Roman" w:hAnsi="Times New Roman"/>
                <w:sz w:val="20"/>
                <w:szCs w:val="20"/>
              </w:rPr>
              <w:t>Regulation S</w:t>
            </w:r>
          </w:p>
        </w:tc>
        <w:tc>
          <w:tcPr>
            <w:tcW w:w="1800" w:type="dxa"/>
          </w:tcPr>
          <w:p w:rsidR="00081EE0" w:rsidRPr="00AB4AEA" w:rsidRDefault="00081EE0" w:rsidP="009635AF">
            <w:pPr>
              <w:rPr>
                <w:rFonts w:ascii="Times New Roman" w:hAnsi="Times New Roman"/>
                <w:sz w:val="20"/>
                <w:szCs w:val="20"/>
              </w:rPr>
            </w:pPr>
            <w:r>
              <w:rPr>
                <w:rFonts w:ascii="Times New Roman" w:hAnsi="Times New Roman"/>
                <w:sz w:val="20"/>
                <w:szCs w:val="20"/>
              </w:rPr>
              <w:t>None.</w:t>
            </w:r>
          </w:p>
        </w:tc>
        <w:tc>
          <w:tcPr>
            <w:tcW w:w="1620" w:type="dxa"/>
          </w:tcPr>
          <w:p w:rsidR="00081EE0" w:rsidRPr="00B46656" w:rsidRDefault="00081EE0" w:rsidP="009635AF">
            <w:pPr>
              <w:rPr>
                <w:rFonts w:ascii="Times New Roman" w:hAnsi="Times New Roman"/>
                <w:sz w:val="20"/>
                <w:szCs w:val="20"/>
              </w:rPr>
            </w:pPr>
            <w:r w:rsidRPr="00B46656">
              <w:rPr>
                <w:rFonts w:ascii="Times New Roman" w:hAnsi="Times New Roman" w:cs="Times New Roman"/>
                <w:sz w:val="20"/>
                <w:szCs w:val="20"/>
              </w:rPr>
              <w:t>Issuer</w:t>
            </w:r>
            <w:r>
              <w:rPr>
                <w:rFonts w:ascii="Times New Roman" w:hAnsi="Times New Roman" w:cs="Times New Roman"/>
                <w:sz w:val="20"/>
                <w:szCs w:val="20"/>
              </w:rPr>
              <w:t>, investor and transaction</w:t>
            </w:r>
            <w:r w:rsidRPr="00B46656">
              <w:rPr>
                <w:rFonts w:ascii="Times New Roman" w:hAnsi="Times New Roman" w:cs="Times New Roman"/>
                <w:sz w:val="20"/>
                <w:szCs w:val="20"/>
              </w:rPr>
              <w:t xml:space="preserve"> must fall into one of three categories set forth in Regulation S Rule 903</w:t>
            </w:r>
            <w:r>
              <w:rPr>
                <w:rFonts w:ascii="Times New Roman" w:hAnsi="Times New Roman" w:cs="Times New Roman"/>
                <w:sz w:val="20"/>
                <w:szCs w:val="20"/>
              </w:rPr>
              <w:t>.</w:t>
            </w:r>
          </w:p>
        </w:tc>
        <w:tc>
          <w:tcPr>
            <w:tcW w:w="1877" w:type="dxa"/>
          </w:tcPr>
          <w:p w:rsidR="00081EE0" w:rsidRPr="00B46656" w:rsidRDefault="00081EE0" w:rsidP="009635AF">
            <w:pPr>
              <w:rPr>
                <w:rFonts w:ascii="Times New Roman" w:hAnsi="Times New Roman"/>
                <w:sz w:val="20"/>
                <w:szCs w:val="20"/>
              </w:rPr>
            </w:pPr>
            <w:r w:rsidRPr="00B46656">
              <w:rPr>
                <w:rFonts w:ascii="Times New Roman" w:hAnsi="Times New Roman" w:cs="Times New Roman"/>
                <w:sz w:val="20"/>
                <w:szCs w:val="20"/>
              </w:rPr>
              <w:t>Regulation S is technically not an exemption to Securities Act registration req</w:t>
            </w:r>
            <w:r>
              <w:rPr>
                <w:rFonts w:ascii="Times New Roman" w:hAnsi="Times New Roman" w:cs="Times New Roman"/>
                <w:sz w:val="20"/>
                <w:szCs w:val="20"/>
              </w:rPr>
              <w:t>uirements.  No directed selling efforts into U.S. market</w:t>
            </w:r>
            <w:r w:rsidRPr="00B46656">
              <w:rPr>
                <w:rFonts w:ascii="Times New Roman" w:hAnsi="Times New Roman" w:cs="Times New Roman"/>
                <w:sz w:val="20"/>
                <w:szCs w:val="20"/>
              </w:rPr>
              <w:t>.</w:t>
            </w:r>
          </w:p>
        </w:tc>
        <w:tc>
          <w:tcPr>
            <w:tcW w:w="1350" w:type="dxa"/>
          </w:tcPr>
          <w:p w:rsidR="00081EE0" w:rsidRDefault="00081EE0" w:rsidP="009635AF">
            <w:pPr>
              <w:rPr>
                <w:rFonts w:ascii="Times New Roman" w:hAnsi="Times New Roman" w:cs="Times New Roman"/>
                <w:sz w:val="20"/>
                <w:szCs w:val="20"/>
              </w:rPr>
            </w:pPr>
            <w:r w:rsidRPr="00B46656">
              <w:rPr>
                <w:rFonts w:ascii="Times New Roman" w:hAnsi="Times New Roman" w:cs="Times New Roman"/>
                <w:sz w:val="20"/>
                <w:szCs w:val="20"/>
              </w:rPr>
              <w:t xml:space="preserve">SEC:  None, provided that issuer is not an Exchange Act reporting company.  </w:t>
            </w:r>
          </w:p>
          <w:p w:rsidR="00081EE0" w:rsidRDefault="00081EE0" w:rsidP="009635AF">
            <w:pPr>
              <w:rPr>
                <w:rFonts w:ascii="Times New Roman" w:hAnsi="Times New Roman" w:cs="Times New Roman"/>
                <w:sz w:val="20"/>
                <w:szCs w:val="20"/>
              </w:rPr>
            </w:pPr>
          </w:p>
          <w:p w:rsidR="00081EE0" w:rsidRPr="00B46656" w:rsidRDefault="00081EE0" w:rsidP="009635AF">
            <w:pPr>
              <w:rPr>
                <w:rFonts w:ascii="Times New Roman" w:hAnsi="Times New Roman"/>
                <w:sz w:val="20"/>
                <w:szCs w:val="20"/>
              </w:rPr>
            </w:pPr>
            <w:r>
              <w:rPr>
                <w:rFonts w:ascii="Times New Roman" w:hAnsi="Times New Roman" w:cs="Times New Roman"/>
                <w:sz w:val="20"/>
                <w:szCs w:val="20"/>
              </w:rPr>
              <w:t>State:  Must comply with state law</w:t>
            </w:r>
            <w:r w:rsidRPr="00B46656">
              <w:rPr>
                <w:rFonts w:ascii="Times New Roman" w:hAnsi="Times New Roman" w:cs="Times New Roman"/>
                <w:sz w:val="20"/>
                <w:szCs w:val="20"/>
              </w:rPr>
              <w:t>.</w:t>
            </w:r>
          </w:p>
        </w:tc>
        <w:tc>
          <w:tcPr>
            <w:tcW w:w="1170" w:type="dxa"/>
          </w:tcPr>
          <w:p w:rsidR="00081EE0" w:rsidRPr="00AB4AEA" w:rsidRDefault="00081EE0" w:rsidP="009635AF">
            <w:pPr>
              <w:rPr>
                <w:rFonts w:ascii="Times New Roman" w:hAnsi="Times New Roman"/>
                <w:sz w:val="20"/>
                <w:szCs w:val="20"/>
              </w:rPr>
            </w:pPr>
            <w:r>
              <w:rPr>
                <w:rFonts w:ascii="Times New Roman" w:hAnsi="Times New Roman"/>
                <w:sz w:val="20"/>
                <w:szCs w:val="20"/>
              </w:rPr>
              <w:t>Restricted Securities As per the Rules 903, 904 and 905.</w:t>
            </w:r>
          </w:p>
        </w:tc>
        <w:tc>
          <w:tcPr>
            <w:tcW w:w="1363" w:type="dxa"/>
          </w:tcPr>
          <w:p w:rsidR="00081EE0" w:rsidRPr="005C1B83" w:rsidRDefault="00081EE0" w:rsidP="009635AF">
            <w:pPr>
              <w:rPr>
                <w:rFonts w:ascii="Times New Roman" w:hAnsi="Times New Roman"/>
                <w:sz w:val="20"/>
                <w:szCs w:val="20"/>
              </w:rPr>
            </w:pPr>
            <w:r>
              <w:rPr>
                <w:rFonts w:ascii="Times New Roman" w:hAnsi="Times New Roman" w:cs="Times New Roman"/>
                <w:sz w:val="20"/>
                <w:szCs w:val="20"/>
              </w:rPr>
              <w:t>None</w:t>
            </w:r>
            <w:r w:rsidRPr="005C1B83">
              <w:rPr>
                <w:rFonts w:ascii="Times New Roman" w:hAnsi="Times New Roman" w:cs="Times New Roman"/>
                <w:sz w:val="20"/>
                <w:szCs w:val="20"/>
              </w:rPr>
              <w:t>.</w:t>
            </w:r>
          </w:p>
        </w:tc>
      </w:tr>
      <w:tr w:rsidR="00081EE0" w:rsidTr="009635AF">
        <w:tc>
          <w:tcPr>
            <w:tcW w:w="1620" w:type="dxa"/>
          </w:tcPr>
          <w:p w:rsidR="00081EE0" w:rsidRDefault="00081EE0" w:rsidP="009635AF">
            <w:pPr>
              <w:rPr>
                <w:rFonts w:ascii="Times New Roman" w:hAnsi="Times New Roman"/>
                <w:sz w:val="20"/>
                <w:szCs w:val="20"/>
              </w:rPr>
            </w:pPr>
          </w:p>
        </w:tc>
        <w:tc>
          <w:tcPr>
            <w:tcW w:w="1800" w:type="dxa"/>
          </w:tcPr>
          <w:p w:rsidR="00081EE0" w:rsidRDefault="00081EE0" w:rsidP="009635AF">
            <w:pPr>
              <w:rPr>
                <w:rFonts w:ascii="Times New Roman" w:hAnsi="Times New Roman"/>
                <w:sz w:val="20"/>
                <w:szCs w:val="20"/>
              </w:rPr>
            </w:pPr>
          </w:p>
        </w:tc>
        <w:tc>
          <w:tcPr>
            <w:tcW w:w="1620" w:type="dxa"/>
          </w:tcPr>
          <w:p w:rsidR="00081EE0" w:rsidRPr="00B46656" w:rsidRDefault="00081EE0" w:rsidP="009635AF">
            <w:pPr>
              <w:rPr>
                <w:rFonts w:ascii="Times New Roman" w:hAnsi="Times New Roman"/>
                <w:sz w:val="20"/>
                <w:szCs w:val="20"/>
              </w:rPr>
            </w:pPr>
          </w:p>
        </w:tc>
        <w:tc>
          <w:tcPr>
            <w:tcW w:w="1877" w:type="dxa"/>
          </w:tcPr>
          <w:p w:rsidR="00081EE0" w:rsidRPr="00B46656" w:rsidRDefault="00081EE0" w:rsidP="009635AF">
            <w:pPr>
              <w:rPr>
                <w:rFonts w:ascii="Times New Roman" w:hAnsi="Times New Roman"/>
                <w:sz w:val="20"/>
                <w:szCs w:val="20"/>
              </w:rPr>
            </w:pPr>
          </w:p>
        </w:tc>
        <w:tc>
          <w:tcPr>
            <w:tcW w:w="1350" w:type="dxa"/>
          </w:tcPr>
          <w:p w:rsidR="00081EE0" w:rsidRPr="00B46656" w:rsidRDefault="00081EE0" w:rsidP="009635AF">
            <w:pPr>
              <w:rPr>
                <w:rFonts w:ascii="Times New Roman" w:hAnsi="Times New Roman"/>
                <w:sz w:val="20"/>
                <w:szCs w:val="20"/>
              </w:rPr>
            </w:pPr>
          </w:p>
        </w:tc>
        <w:tc>
          <w:tcPr>
            <w:tcW w:w="1170" w:type="dxa"/>
          </w:tcPr>
          <w:p w:rsidR="00081EE0" w:rsidRDefault="00081EE0" w:rsidP="009635AF">
            <w:pPr>
              <w:rPr>
                <w:rFonts w:ascii="Times New Roman" w:hAnsi="Times New Roman"/>
                <w:sz w:val="20"/>
                <w:szCs w:val="20"/>
              </w:rPr>
            </w:pPr>
          </w:p>
        </w:tc>
        <w:tc>
          <w:tcPr>
            <w:tcW w:w="1363" w:type="dxa"/>
          </w:tcPr>
          <w:p w:rsidR="00081EE0" w:rsidRPr="005C1B83" w:rsidRDefault="00081EE0" w:rsidP="009635AF">
            <w:pPr>
              <w:rPr>
                <w:rFonts w:ascii="Times New Roman" w:hAnsi="Times New Roman"/>
                <w:sz w:val="20"/>
                <w:szCs w:val="20"/>
              </w:rPr>
            </w:pPr>
          </w:p>
        </w:tc>
      </w:tr>
      <w:tr w:rsidR="00081EE0" w:rsidTr="009635AF">
        <w:tc>
          <w:tcPr>
            <w:tcW w:w="1620" w:type="dxa"/>
          </w:tcPr>
          <w:p w:rsidR="00081EE0" w:rsidRDefault="00081EE0" w:rsidP="009635AF">
            <w:pPr>
              <w:rPr>
                <w:rFonts w:ascii="Times New Roman" w:hAnsi="Times New Roman"/>
                <w:sz w:val="20"/>
                <w:szCs w:val="20"/>
              </w:rPr>
            </w:pPr>
            <w:r>
              <w:rPr>
                <w:rFonts w:ascii="Times New Roman" w:hAnsi="Times New Roman"/>
                <w:sz w:val="20"/>
                <w:szCs w:val="20"/>
              </w:rPr>
              <w:t>Rules 801 and  802</w:t>
            </w:r>
          </w:p>
        </w:tc>
        <w:tc>
          <w:tcPr>
            <w:tcW w:w="1800" w:type="dxa"/>
          </w:tcPr>
          <w:p w:rsidR="00081EE0" w:rsidRDefault="00081EE0" w:rsidP="009635AF">
            <w:pPr>
              <w:rPr>
                <w:rFonts w:ascii="Times New Roman" w:hAnsi="Times New Roman"/>
                <w:sz w:val="20"/>
                <w:szCs w:val="20"/>
              </w:rPr>
            </w:pPr>
            <w:r>
              <w:rPr>
                <w:rFonts w:ascii="Times New Roman" w:hAnsi="Times New Roman"/>
                <w:sz w:val="20"/>
                <w:szCs w:val="20"/>
              </w:rPr>
              <w:t>None.</w:t>
            </w:r>
          </w:p>
        </w:tc>
        <w:tc>
          <w:tcPr>
            <w:tcW w:w="1620" w:type="dxa"/>
          </w:tcPr>
          <w:p w:rsidR="00081EE0" w:rsidRDefault="00081EE0" w:rsidP="009635AF">
            <w:pPr>
              <w:rPr>
                <w:rFonts w:ascii="Times New Roman" w:hAnsi="Times New Roman"/>
                <w:sz w:val="20"/>
                <w:szCs w:val="20"/>
              </w:rPr>
            </w:pPr>
            <w:r>
              <w:rPr>
                <w:rFonts w:ascii="Times New Roman" w:hAnsi="Times New Roman"/>
                <w:sz w:val="20"/>
                <w:szCs w:val="20"/>
              </w:rPr>
              <w:t xml:space="preserve">Issuers must be “foreign private issuers,” as defined in Securities Act Regulation C.  </w:t>
            </w:r>
          </w:p>
          <w:p w:rsidR="00081EE0" w:rsidRDefault="00081EE0" w:rsidP="009635AF">
            <w:pPr>
              <w:rPr>
                <w:rFonts w:ascii="Times New Roman" w:hAnsi="Times New Roman"/>
                <w:sz w:val="20"/>
                <w:szCs w:val="20"/>
              </w:rPr>
            </w:pPr>
          </w:p>
          <w:p w:rsidR="00081EE0" w:rsidRPr="00B46656" w:rsidRDefault="00081EE0" w:rsidP="009635AF">
            <w:pPr>
              <w:rPr>
                <w:rFonts w:ascii="Times New Roman" w:hAnsi="Times New Roman"/>
                <w:sz w:val="20"/>
                <w:szCs w:val="20"/>
              </w:rPr>
            </w:pPr>
            <w:r>
              <w:rPr>
                <w:rFonts w:ascii="Times New Roman" w:hAnsi="Times New Roman"/>
                <w:sz w:val="20"/>
                <w:szCs w:val="20"/>
              </w:rPr>
              <w:t>Investors must be non-U.S. holders, U.S. holders may hold no more than 10% .</w:t>
            </w:r>
          </w:p>
        </w:tc>
        <w:tc>
          <w:tcPr>
            <w:tcW w:w="1877" w:type="dxa"/>
          </w:tcPr>
          <w:p w:rsidR="00081EE0" w:rsidRPr="00B46656" w:rsidRDefault="00081EE0" w:rsidP="009635AF">
            <w:pPr>
              <w:rPr>
                <w:rFonts w:ascii="Times New Roman" w:hAnsi="Times New Roman"/>
                <w:sz w:val="20"/>
                <w:szCs w:val="20"/>
              </w:rPr>
            </w:pPr>
            <w:r>
              <w:rPr>
                <w:rFonts w:ascii="Times New Roman" w:hAnsi="Times New Roman"/>
                <w:sz w:val="20"/>
                <w:szCs w:val="20"/>
              </w:rPr>
              <w:t>None other than regulations governing rights offerings, exchange offerings or business combinations as the case may be.</w:t>
            </w:r>
          </w:p>
        </w:tc>
        <w:tc>
          <w:tcPr>
            <w:tcW w:w="1350" w:type="dxa"/>
          </w:tcPr>
          <w:p w:rsidR="00081EE0" w:rsidRDefault="00081EE0" w:rsidP="009635AF">
            <w:pPr>
              <w:rPr>
                <w:rFonts w:ascii="Times New Roman" w:hAnsi="Times New Roman"/>
                <w:sz w:val="20"/>
                <w:szCs w:val="20"/>
              </w:rPr>
            </w:pPr>
            <w:r>
              <w:rPr>
                <w:rFonts w:ascii="Times New Roman" w:hAnsi="Times New Roman"/>
                <w:sz w:val="20"/>
                <w:szCs w:val="20"/>
              </w:rPr>
              <w:t>SEC:  If information statement furnished, it must be filed on Form CB; if Form CB is filed, Form F-X must also be filed.</w:t>
            </w:r>
          </w:p>
          <w:p w:rsidR="00081EE0" w:rsidRDefault="00081EE0" w:rsidP="009635AF">
            <w:pPr>
              <w:rPr>
                <w:rFonts w:ascii="Times New Roman" w:hAnsi="Times New Roman"/>
                <w:sz w:val="20"/>
                <w:szCs w:val="20"/>
              </w:rPr>
            </w:pPr>
          </w:p>
          <w:p w:rsidR="00081EE0" w:rsidRPr="00B46656" w:rsidRDefault="00081EE0" w:rsidP="009635AF">
            <w:pPr>
              <w:rPr>
                <w:rFonts w:ascii="Times New Roman" w:hAnsi="Times New Roman"/>
                <w:sz w:val="20"/>
                <w:szCs w:val="20"/>
              </w:rPr>
            </w:pPr>
            <w:r>
              <w:rPr>
                <w:rFonts w:ascii="Times New Roman" w:hAnsi="Times New Roman"/>
                <w:sz w:val="20"/>
                <w:szCs w:val="20"/>
              </w:rPr>
              <w:t>State:  Must comply with state law.</w:t>
            </w:r>
          </w:p>
        </w:tc>
        <w:tc>
          <w:tcPr>
            <w:tcW w:w="1170" w:type="dxa"/>
          </w:tcPr>
          <w:p w:rsidR="00081EE0" w:rsidRPr="00F9589C" w:rsidRDefault="00081EE0" w:rsidP="009635AF">
            <w:pPr>
              <w:rPr>
                <w:rFonts w:ascii="Times New Roman" w:hAnsi="Times New Roman"/>
                <w:sz w:val="20"/>
                <w:szCs w:val="20"/>
              </w:rPr>
            </w:pPr>
            <w:r w:rsidRPr="00F9589C">
              <w:rPr>
                <w:rFonts w:ascii="Times New Roman" w:hAnsi="Times New Roman"/>
                <w:sz w:val="20"/>
                <w:szCs w:val="20"/>
              </w:rPr>
              <w:t xml:space="preserve">Restricted </w:t>
            </w:r>
            <w:r>
              <w:rPr>
                <w:rFonts w:ascii="Times New Roman" w:hAnsi="Times New Roman"/>
                <w:sz w:val="20"/>
                <w:szCs w:val="20"/>
              </w:rPr>
              <w:t>S</w:t>
            </w:r>
            <w:r w:rsidRPr="00F9589C">
              <w:rPr>
                <w:rFonts w:ascii="Times New Roman" w:hAnsi="Times New Roman"/>
                <w:sz w:val="20"/>
                <w:szCs w:val="20"/>
              </w:rPr>
              <w:t xml:space="preserve">ecurities.  </w:t>
            </w:r>
            <w:r>
              <w:rPr>
                <w:rFonts w:ascii="Times New Roman" w:hAnsi="Times New Roman"/>
                <w:sz w:val="20"/>
                <w:szCs w:val="20"/>
              </w:rPr>
              <w:t xml:space="preserve">For </w:t>
            </w:r>
            <w:r w:rsidRPr="00F9589C">
              <w:rPr>
                <w:rFonts w:ascii="Times New Roman" w:hAnsi="Times New Roman" w:cs="Times New Roman"/>
                <w:sz w:val="20"/>
                <w:szCs w:val="20"/>
              </w:rPr>
              <w:t>Rule 801, transfers of rights by U.S. holders must be in accordance with  Reg</w:t>
            </w:r>
            <w:r>
              <w:rPr>
                <w:rFonts w:ascii="Times New Roman" w:hAnsi="Times New Roman" w:cs="Times New Roman"/>
                <w:sz w:val="20"/>
                <w:szCs w:val="20"/>
              </w:rPr>
              <w:t>ulation</w:t>
            </w:r>
            <w:r w:rsidRPr="00F9589C">
              <w:rPr>
                <w:rFonts w:ascii="Times New Roman" w:hAnsi="Times New Roman" w:cs="Times New Roman"/>
                <w:sz w:val="20"/>
                <w:szCs w:val="20"/>
              </w:rPr>
              <w:t xml:space="preserve"> S.</w:t>
            </w:r>
          </w:p>
        </w:tc>
        <w:tc>
          <w:tcPr>
            <w:tcW w:w="1363" w:type="dxa"/>
          </w:tcPr>
          <w:p w:rsidR="00081EE0" w:rsidRPr="005C1B83" w:rsidRDefault="00081EE0" w:rsidP="009635AF">
            <w:pPr>
              <w:rPr>
                <w:rFonts w:ascii="Times New Roman" w:hAnsi="Times New Roman"/>
                <w:sz w:val="20"/>
                <w:szCs w:val="20"/>
              </w:rPr>
            </w:pPr>
            <w:r>
              <w:rPr>
                <w:rFonts w:ascii="Times New Roman" w:hAnsi="Times New Roman"/>
                <w:sz w:val="20"/>
                <w:szCs w:val="20"/>
              </w:rPr>
              <w:t>Optional; use activates filing requirements.</w:t>
            </w:r>
          </w:p>
        </w:tc>
      </w:tr>
      <w:tr w:rsidR="00081EE0" w:rsidTr="009635AF">
        <w:tc>
          <w:tcPr>
            <w:tcW w:w="1620" w:type="dxa"/>
          </w:tcPr>
          <w:p w:rsidR="00081EE0" w:rsidRDefault="00081EE0" w:rsidP="009635AF">
            <w:pPr>
              <w:rPr>
                <w:rFonts w:ascii="Times New Roman" w:hAnsi="Times New Roman"/>
                <w:sz w:val="20"/>
                <w:szCs w:val="20"/>
              </w:rPr>
            </w:pPr>
          </w:p>
        </w:tc>
        <w:tc>
          <w:tcPr>
            <w:tcW w:w="1800" w:type="dxa"/>
          </w:tcPr>
          <w:p w:rsidR="00081EE0" w:rsidRDefault="00081EE0" w:rsidP="009635AF">
            <w:pPr>
              <w:rPr>
                <w:rFonts w:ascii="Times New Roman" w:hAnsi="Times New Roman"/>
                <w:sz w:val="20"/>
                <w:szCs w:val="20"/>
              </w:rPr>
            </w:pPr>
          </w:p>
        </w:tc>
        <w:tc>
          <w:tcPr>
            <w:tcW w:w="1620" w:type="dxa"/>
          </w:tcPr>
          <w:p w:rsidR="00081EE0" w:rsidRDefault="00081EE0" w:rsidP="009635AF">
            <w:pPr>
              <w:rPr>
                <w:rFonts w:ascii="Times New Roman" w:hAnsi="Times New Roman"/>
                <w:sz w:val="20"/>
                <w:szCs w:val="20"/>
              </w:rPr>
            </w:pPr>
          </w:p>
        </w:tc>
        <w:tc>
          <w:tcPr>
            <w:tcW w:w="1877" w:type="dxa"/>
          </w:tcPr>
          <w:p w:rsidR="00081EE0" w:rsidRPr="00B46656" w:rsidRDefault="00081EE0" w:rsidP="009635AF">
            <w:pPr>
              <w:rPr>
                <w:rFonts w:ascii="Times New Roman" w:hAnsi="Times New Roman"/>
                <w:sz w:val="20"/>
                <w:szCs w:val="20"/>
              </w:rPr>
            </w:pPr>
          </w:p>
        </w:tc>
        <w:tc>
          <w:tcPr>
            <w:tcW w:w="1350" w:type="dxa"/>
          </w:tcPr>
          <w:p w:rsidR="00081EE0" w:rsidRPr="00B46656" w:rsidRDefault="00081EE0" w:rsidP="009635AF">
            <w:pPr>
              <w:rPr>
                <w:rFonts w:ascii="Times New Roman" w:hAnsi="Times New Roman"/>
                <w:sz w:val="20"/>
                <w:szCs w:val="20"/>
              </w:rPr>
            </w:pPr>
          </w:p>
        </w:tc>
        <w:tc>
          <w:tcPr>
            <w:tcW w:w="1170" w:type="dxa"/>
          </w:tcPr>
          <w:p w:rsidR="00081EE0" w:rsidRDefault="00081EE0" w:rsidP="009635AF">
            <w:pPr>
              <w:rPr>
                <w:rFonts w:ascii="Times New Roman" w:hAnsi="Times New Roman"/>
                <w:sz w:val="20"/>
                <w:szCs w:val="20"/>
              </w:rPr>
            </w:pPr>
          </w:p>
        </w:tc>
        <w:tc>
          <w:tcPr>
            <w:tcW w:w="1363" w:type="dxa"/>
          </w:tcPr>
          <w:p w:rsidR="00081EE0" w:rsidRPr="005C1B83" w:rsidRDefault="00081EE0" w:rsidP="009635AF">
            <w:pPr>
              <w:rPr>
                <w:rFonts w:ascii="Times New Roman" w:hAnsi="Times New Roman"/>
                <w:sz w:val="20"/>
                <w:szCs w:val="20"/>
              </w:rPr>
            </w:pPr>
          </w:p>
        </w:tc>
      </w:tr>
      <w:tr w:rsidR="00081EE0" w:rsidTr="009635AF">
        <w:tc>
          <w:tcPr>
            <w:tcW w:w="1620" w:type="dxa"/>
          </w:tcPr>
          <w:p w:rsidR="00081EE0" w:rsidRDefault="00081EE0" w:rsidP="009635AF">
            <w:pPr>
              <w:rPr>
                <w:rFonts w:ascii="Times New Roman" w:hAnsi="Times New Roman"/>
                <w:sz w:val="20"/>
                <w:szCs w:val="20"/>
              </w:rPr>
            </w:pPr>
            <w:r>
              <w:rPr>
                <w:rFonts w:ascii="Times New Roman" w:hAnsi="Times New Roman"/>
                <w:sz w:val="20"/>
                <w:szCs w:val="20"/>
              </w:rPr>
              <w:t>Regulation CE Rule 1001</w:t>
            </w:r>
          </w:p>
        </w:tc>
        <w:tc>
          <w:tcPr>
            <w:tcW w:w="1800" w:type="dxa"/>
          </w:tcPr>
          <w:p w:rsidR="00081EE0" w:rsidRDefault="00081EE0" w:rsidP="009635AF">
            <w:pPr>
              <w:rPr>
                <w:rFonts w:ascii="Times New Roman" w:hAnsi="Times New Roman"/>
                <w:sz w:val="20"/>
                <w:szCs w:val="20"/>
              </w:rPr>
            </w:pPr>
            <w:r>
              <w:rPr>
                <w:rFonts w:ascii="Times New Roman" w:hAnsi="Times New Roman"/>
                <w:sz w:val="20"/>
                <w:szCs w:val="20"/>
              </w:rPr>
              <w:t>$5,000,000.</w:t>
            </w:r>
          </w:p>
        </w:tc>
        <w:tc>
          <w:tcPr>
            <w:tcW w:w="1620" w:type="dxa"/>
          </w:tcPr>
          <w:p w:rsidR="00081EE0" w:rsidRDefault="00081EE0" w:rsidP="009635AF">
            <w:pPr>
              <w:rPr>
                <w:rFonts w:ascii="Times New Roman" w:hAnsi="Times New Roman" w:cs="Times New Roman"/>
                <w:sz w:val="20"/>
                <w:szCs w:val="20"/>
              </w:rPr>
            </w:pPr>
            <w:r>
              <w:rPr>
                <w:rFonts w:ascii="Times New Roman" w:hAnsi="Times New Roman" w:cs="Times New Roman"/>
                <w:sz w:val="20"/>
                <w:szCs w:val="20"/>
              </w:rPr>
              <w:t>Issuer must be</w:t>
            </w:r>
            <w:r w:rsidRPr="00F9589C">
              <w:rPr>
                <w:rFonts w:ascii="Times New Roman" w:hAnsi="Times New Roman" w:cs="Times New Roman"/>
                <w:sz w:val="20"/>
                <w:szCs w:val="20"/>
              </w:rPr>
              <w:t xml:space="preserve"> </w:t>
            </w:r>
            <w:r>
              <w:rPr>
                <w:rFonts w:ascii="Times New Roman" w:hAnsi="Times New Roman" w:cs="Times New Roman"/>
                <w:sz w:val="20"/>
                <w:szCs w:val="20"/>
              </w:rPr>
              <w:t>California</w:t>
            </w:r>
            <w:r w:rsidRPr="00F9589C">
              <w:rPr>
                <w:rFonts w:ascii="Times New Roman" w:hAnsi="Times New Roman" w:cs="Times New Roman"/>
                <w:sz w:val="20"/>
                <w:szCs w:val="20"/>
              </w:rPr>
              <w:t xml:space="preserve"> business entity</w:t>
            </w:r>
            <w:r>
              <w:rPr>
                <w:rFonts w:ascii="Times New Roman" w:hAnsi="Times New Roman" w:cs="Times New Roman"/>
                <w:sz w:val="20"/>
                <w:szCs w:val="20"/>
              </w:rPr>
              <w:t xml:space="preserve"> or</w:t>
            </w:r>
            <w:r w:rsidRPr="00F9589C">
              <w:rPr>
                <w:rFonts w:ascii="Times New Roman" w:hAnsi="Times New Roman" w:cs="Times New Roman"/>
                <w:sz w:val="20"/>
                <w:szCs w:val="20"/>
              </w:rPr>
              <w:t xml:space="preserve"> non-California</w:t>
            </w:r>
            <w:r>
              <w:rPr>
                <w:rFonts w:ascii="Times New Roman" w:hAnsi="Times New Roman" w:cs="Times New Roman"/>
                <w:sz w:val="20"/>
                <w:szCs w:val="20"/>
              </w:rPr>
              <w:t xml:space="preserve"> corporation with majority California attributes</w:t>
            </w:r>
            <w:r w:rsidRPr="00F9589C">
              <w:rPr>
                <w:rFonts w:ascii="Times New Roman" w:hAnsi="Times New Roman" w:cs="Times New Roman"/>
                <w:sz w:val="20"/>
                <w:szCs w:val="20"/>
              </w:rPr>
              <w:t>.</w:t>
            </w:r>
            <w:r>
              <w:rPr>
                <w:rFonts w:ascii="Times New Roman" w:hAnsi="Times New Roman" w:cs="Times New Roman"/>
                <w:sz w:val="20"/>
                <w:szCs w:val="20"/>
              </w:rPr>
              <w:t xml:space="preserve">  </w:t>
            </w:r>
          </w:p>
          <w:p w:rsidR="00081EE0" w:rsidRDefault="00081EE0" w:rsidP="009635AF">
            <w:pPr>
              <w:rPr>
                <w:rFonts w:ascii="Times New Roman" w:hAnsi="Times New Roman" w:cs="Times New Roman"/>
                <w:sz w:val="20"/>
                <w:szCs w:val="20"/>
              </w:rPr>
            </w:pPr>
          </w:p>
          <w:p w:rsidR="00081EE0" w:rsidRPr="00F9589C" w:rsidRDefault="00081EE0" w:rsidP="009635AF">
            <w:pPr>
              <w:rPr>
                <w:rFonts w:ascii="Times New Roman" w:hAnsi="Times New Roman"/>
                <w:sz w:val="20"/>
                <w:szCs w:val="20"/>
              </w:rPr>
            </w:pPr>
            <w:r>
              <w:rPr>
                <w:rFonts w:ascii="Times New Roman" w:hAnsi="Times New Roman" w:cs="Times New Roman"/>
                <w:sz w:val="20"/>
                <w:szCs w:val="20"/>
              </w:rPr>
              <w:t>Investors must be California “Qualified Purchasers.”</w:t>
            </w:r>
          </w:p>
        </w:tc>
        <w:tc>
          <w:tcPr>
            <w:tcW w:w="1877" w:type="dxa"/>
          </w:tcPr>
          <w:p w:rsidR="00081EE0" w:rsidRPr="00F9589C" w:rsidRDefault="00081EE0" w:rsidP="009635AF">
            <w:pPr>
              <w:rPr>
                <w:rFonts w:ascii="Times New Roman" w:hAnsi="Times New Roman"/>
                <w:sz w:val="20"/>
                <w:szCs w:val="20"/>
              </w:rPr>
            </w:pPr>
            <w:r w:rsidRPr="00F9589C">
              <w:rPr>
                <w:rFonts w:ascii="Times New Roman" w:hAnsi="Times New Roman" w:cs="Times New Roman"/>
                <w:sz w:val="20"/>
                <w:szCs w:val="20"/>
              </w:rPr>
              <w:t>Compliance with California Corporations Code section 25102(n).  “Testing the waters” activity is permitted by written communication containing required information.</w:t>
            </w:r>
          </w:p>
        </w:tc>
        <w:tc>
          <w:tcPr>
            <w:tcW w:w="1350" w:type="dxa"/>
          </w:tcPr>
          <w:p w:rsidR="00081EE0" w:rsidRDefault="00081EE0" w:rsidP="009635AF">
            <w:pPr>
              <w:rPr>
                <w:rFonts w:ascii="Times New Roman" w:hAnsi="Times New Roman"/>
                <w:sz w:val="20"/>
                <w:szCs w:val="20"/>
              </w:rPr>
            </w:pPr>
            <w:r>
              <w:rPr>
                <w:rFonts w:ascii="Times New Roman" w:hAnsi="Times New Roman"/>
                <w:sz w:val="20"/>
                <w:szCs w:val="20"/>
              </w:rPr>
              <w:t>SEC:  None.</w:t>
            </w:r>
          </w:p>
          <w:p w:rsidR="00081EE0" w:rsidRDefault="00081EE0" w:rsidP="009635AF">
            <w:pPr>
              <w:rPr>
                <w:rFonts w:ascii="Times New Roman" w:hAnsi="Times New Roman"/>
                <w:sz w:val="20"/>
                <w:szCs w:val="20"/>
              </w:rPr>
            </w:pPr>
          </w:p>
          <w:p w:rsidR="00081EE0" w:rsidRPr="00B46656" w:rsidRDefault="00081EE0" w:rsidP="009635AF">
            <w:pPr>
              <w:rPr>
                <w:rFonts w:ascii="Times New Roman" w:hAnsi="Times New Roman"/>
                <w:sz w:val="20"/>
                <w:szCs w:val="20"/>
              </w:rPr>
            </w:pPr>
            <w:r>
              <w:rPr>
                <w:rFonts w:ascii="Times New Roman" w:hAnsi="Times New Roman"/>
                <w:sz w:val="20"/>
                <w:szCs w:val="20"/>
              </w:rPr>
              <w:t>State:  Must comply with California law.</w:t>
            </w:r>
          </w:p>
        </w:tc>
        <w:tc>
          <w:tcPr>
            <w:tcW w:w="1170" w:type="dxa"/>
          </w:tcPr>
          <w:p w:rsidR="00081EE0" w:rsidRDefault="00081EE0" w:rsidP="009635AF">
            <w:pPr>
              <w:rPr>
                <w:rFonts w:ascii="Times New Roman" w:hAnsi="Times New Roman"/>
                <w:sz w:val="20"/>
                <w:szCs w:val="20"/>
              </w:rPr>
            </w:pPr>
            <w:r>
              <w:rPr>
                <w:rFonts w:ascii="Times New Roman" w:hAnsi="Times New Roman"/>
                <w:sz w:val="20"/>
                <w:szCs w:val="20"/>
              </w:rPr>
              <w:t>Restricted Securities.</w:t>
            </w:r>
          </w:p>
        </w:tc>
        <w:tc>
          <w:tcPr>
            <w:tcW w:w="1363" w:type="dxa"/>
          </w:tcPr>
          <w:p w:rsidR="00081EE0" w:rsidRPr="0017370A" w:rsidRDefault="00081EE0" w:rsidP="009635AF">
            <w:pPr>
              <w:rPr>
                <w:rFonts w:ascii="Times New Roman" w:hAnsi="Times New Roman"/>
                <w:sz w:val="20"/>
                <w:szCs w:val="20"/>
              </w:rPr>
            </w:pPr>
            <w:r w:rsidRPr="0017370A">
              <w:rPr>
                <w:rFonts w:ascii="Times New Roman" w:hAnsi="Times New Roman" w:cs="Times New Roman"/>
                <w:sz w:val="20"/>
                <w:szCs w:val="20"/>
              </w:rPr>
              <w:t xml:space="preserve">For all sales to natural person </w:t>
            </w:r>
            <w:r>
              <w:rPr>
                <w:rFonts w:ascii="Times New Roman" w:hAnsi="Times New Roman" w:cs="Times New Roman"/>
                <w:sz w:val="20"/>
                <w:szCs w:val="20"/>
              </w:rPr>
              <w:t>Qualified P</w:t>
            </w:r>
            <w:r w:rsidRPr="0017370A">
              <w:rPr>
                <w:rFonts w:ascii="Times New Roman" w:hAnsi="Times New Roman" w:cs="Times New Roman"/>
                <w:sz w:val="20"/>
                <w:szCs w:val="20"/>
              </w:rPr>
              <w:t>urchasers, a disclosure document containing the information required by Regulation D must be furnished.</w:t>
            </w:r>
          </w:p>
        </w:tc>
      </w:tr>
    </w:tbl>
    <w:p w:rsidR="00096552" w:rsidRDefault="00096552" w:rsidP="003417F0">
      <w:pPr>
        <w:jc w:val="both"/>
        <w:rPr>
          <w:rFonts w:ascii="Times New Roman" w:hAnsi="Times New Roman"/>
          <w:bCs/>
          <w:color w:val="3C3E40"/>
          <w:sz w:val="20"/>
          <w:szCs w:val="20"/>
        </w:rPr>
      </w:pPr>
    </w:p>
    <w:p w:rsidR="00096552" w:rsidRDefault="00096552" w:rsidP="003417F0">
      <w:pPr>
        <w:jc w:val="both"/>
        <w:rPr>
          <w:rFonts w:ascii="Times New Roman" w:hAnsi="Times New Roman"/>
          <w:bCs/>
          <w:color w:val="3C3E40"/>
          <w:sz w:val="20"/>
          <w:szCs w:val="20"/>
        </w:rPr>
      </w:pPr>
    </w:p>
    <w:sectPr w:rsidR="00096552" w:rsidSect="001E30E3">
      <w:headerReference w:type="even" r:id="rId11"/>
      <w:headerReference w:type="default" r:id="rId12"/>
      <w:footerReference w:type="default" r:id="rId13"/>
      <w:headerReference w:type="first" r:id="rId14"/>
      <w:footerReference w:type="first" r:id="rId15"/>
      <w:pgSz w:w="12240" w:h="15840"/>
      <w:pgMar w:top="2304" w:right="720" w:bottom="936" w:left="72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41" w:rsidRDefault="00972441">
      <w:r>
        <w:separator/>
      </w:r>
    </w:p>
  </w:endnote>
  <w:endnote w:type="continuationSeparator" w:id="0">
    <w:p w:rsidR="00972441" w:rsidRDefault="0097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 New Baskerville St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14098"/>
      <w:docPartObj>
        <w:docPartGallery w:val="Page Numbers (Bottom of Page)"/>
        <w:docPartUnique/>
      </w:docPartObj>
    </w:sdtPr>
    <w:sdtEndPr>
      <w:rPr>
        <w:noProof/>
      </w:rPr>
    </w:sdtEndPr>
    <w:sdtContent>
      <w:p w:rsidR="009635AF" w:rsidRDefault="009635AF" w:rsidP="001E72BE">
        <w:pPr>
          <w:pStyle w:val="Footer"/>
        </w:pPr>
      </w:p>
      <w:p w:rsidR="009635AF" w:rsidRPr="00D649E0" w:rsidRDefault="009635AF" w:rsidP="001E72BE">
        <w:pPr>
          <w:pStyle w:val="Footer"/>
          <w:jc w:val="center"/>
          <w:rPr>
            <w:rFonts w:ascii="Arial" w:hAnsi="Arial" w:cs="Arial"/>
            <w:color w:val="083F88"/>
            <w:sz w:val="16"/>
          </w:rPr>
        </w:pPr>
        <w:r w:rsidRPr="00D649E0">
          <w:rPr>
            <w:rFonts w:ascii="Arial" w:hAnsi="Arial" w:cs="Arial"/>
            <w:color w:val="083F88"/>
            <w:sz w:val="16"/>
          </w:rPr>
          <w:t>T: 212.554.3373 |</w:t>
        </w:r>
        <w:r>
          <w:rPr>
            <w:rFonts w:ascii="Arial" w:hAnsi="Arial" w:cs="Arial"/>
            <w:color w:val="083F88"/>
            <w:sz w:val="16"/>
          </w:rPr>
          <w:t xml:space="preserve"> </w:t>
        </w:r>
        <w:r w:rsidRPr="00D649E0">
          <w:rPr>
            <w:rFonts w:ascii="Arial" w:hAnsi="Arial" w:cs="Arial"/>
            <w:color w:val="083F88"/>
            <w:sz w:val="16"/>
          </w:rPr>
          <w:t>E: info@kurtinlaw.com | W: www.kurtinlaw.com</w:t>
        </w:r>
      </w:p>
      <w:p w:rsidR="009635AF" w:rsidRDefault="009635AF" w:rsidP="001E72BE">
        <w:pPr>
          <w:pStyle w:val="Footer"/>
          <w:jc w:val="center"/>
        </w:pPr>
        <w:r>
          <w:fldChar w:fldCharType="begin"/>
        </w:r>
        <w:r>
          <w:instrText xml:space="preserve"> PAGE   \* MERGEFORMAT </w:instrText>
        </w:r>
        <w:r>
          <w:fldChar w:fldCharType="separate"/>
        </w:r>
        <w:r w:rsidR="00D72929">
          <w:rPr>
            <w:noProof/>
          </w:rPr>
          <w:t>1</w:t>
        </w:r>
        <w:r>
          <w:rPr>
            <w:noProof/>
          </w:rPr>
          <w:fldChar w:fldCharType="end"/>
        </w:r>
      </w:p>
    </w:sdtContent>
  </w:sdt>
  <w:p w:rsidR="009635AF" w:rsidRPr="00DD5EC5" w:rsidRDefault="009635AF" w:rsidP="001E30E3">
    <w:pPr>
      <w:pStyle w:val="Footer"/>
      <w:spacing w:before="240"/>
      <w:jc w:val="center"/>
      <w:rPr>
        <w:color w:val="FFFFFF"/>
      </w:rPr>
    </w:pPr>
    <w:r w:rsidDel="001E72B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53705"/>
      <w:docPartObj>
        <w:docPartGallery w:val="Page Numbers (Bottom of Page)"/>
        <w:docPartUnique/>
      </w:docPartObj>
    </w:sdtPr>
    <w:sdtEndPr>
      <w:rPr>
        <w:noProof/>
      </w:rPr>
    </w:sdtEndPr>
    <w:sdtContent>
      <w:p w:rsidR="009635AF" w:rsidRDefault="009635AF" w:rsidP="001E72BE">
        <w:pPr>
          <w:pStyle w:val="Footer"/>
        </w:pPr>
      </w:p>
      <w:p w:rsidR="009635AF" w:rsidRPr="00D649E0" w:rsidRDefault="009635AF" w:rsidP="001E72BE">
        <w:pPr>
          <w:pStyle w:val="Footer"/>
          <w:jc w:val="center"/>
          <w:rPr>
            <w:rFonts w:ascii="Arial" w:hAnsi="Arial" w:cs="Arial"/>
            <w:color w:val="083F88"/>
            <w:sz w:val="16"/>
          </w:rPr>
        </w:pPr>
        <w:r w:rsidRPr="00D649E0">
          <w:rPr>
            <w:rFonts w:ascii="Arial" w:hAnsi="Arial" w:cs="Arial"/>
            <w:color w:val="083F88"/>
            <w:sz w:val="16"/>
          </w:rPr>
          <w:t>T: 212.554.3373 |</w:t>
        </w:r>
        <w:r>
          <w:rPr>
            <w:rFonts w:ascii="Arial" w:hAnsi="Arial" w:cs="Arial"/>
            <w:color w:val="083F88"/>
            <w:sz w:val="16"/>
          </w:rPr>
          <w:t xml:space="preserve"> </w:t>
        </w:r>
        <w:r w:rsidRPr="00D649E0">
          <w:rPr>
            <w:rFonts w:ascii="Arial" w:hAnsi="Arial" w:cs="Arial"/>
            <w:color w:val="083F88"/>
            <w:sz w:val="16"/>
          </w:rPr>
          <w:t>E: info@kurtinlaw.com | W: www.kurtinlaw.com</w:t>
        </w:r>
      </w:p>
      <w:p w:rsidR="009635AF" w:rsidRDefault="009635AF" w:rsidP="001E72BE">
        <w:pPr>
          <w:pStyle w:val="Footer"/>
          <w:jc w:val="center"/>
        </w:pPr>
        <w:r>
          <w:fldChar w:fldCharType="begin"/>
        </w:r>
        <w:r>
          <w:instrText xml:space="preserve"> PAGE   \* MERGEFORMAT </w:instrText>
        </w:r>
        <w:r>
          <w:fldChar w:fldCharType="separate"/>
        </w:r>
        <w:r w:rsidR="00C377B4">
          <w:rPr>
            <w:noProof/>
          </w:rPr>
          <w:t>1</w:t>
        </w:r>
        <w:r>
          <w:rPr>
            <w:noProof/>
          </w:rPr>
          <w:fldChar w:fldCharType="end"/>
        </w:r>
      </w:p>
    </w:sdtContent>
  </w:sdt>
  <w:p w:rsidR="009635AF" w:rsidRDefault="009635AF" w:rsidP="001A48AA">
    <w:pPr>
      <w:pStyle w:val="Footer"/>
      <w:jc w:val="center"/>
    </w:pPr>
    <w:r w:rsidDel="001E72B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41" w:rsidRDefault="00972441">
      <w:r>
        <w:separator/>
      </w:r>
    </w:p>
  </w:footnote>
  <w:footnote w:type="continuationSeparator" w:id="0">
    <w:p w:rsidR="00972441" w:rsidRDefault="00972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AF" w:rsidRDefault="009635AF">
    <w:r>
      <w:rPr>
        <w:szCs w:val="20"/>
      </w:rPr>
      <w:pict w14:anchorId="08497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39.95pt;height:539.95pt;z-index:-251658752;mso-wrap-edited:f;mso-position-horizontal:center;mso-position-horizontal-relative:margin;mso-position-vertical:center;mso-position-vertical-relative:margin" wrapcoords="-30 0 -30 21570 21600 21570 21600 0 -30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AF" w:rsidRPr="00DD5EC5" w:rsidRDefault="009635AF" w:rsidP="001E090B">
    <w:pPr>
      <w:ind w:left="-72"/>
      <w:rPr>
        <w:rFonts w:ascii="ITC New Baskerville Std" w:hAnsi="ITC New Baskerville Std"/>
        <w:color w:val="637991"/>
        <w:sz w:val="28"/>
      </w:rPr>
    </w:pPr>
    <w:r>
      <w:rPr>
        <w:rFonts w:ascii="ITC New Baskerville Std" w:hAnsi="ITC New Baskerville Std"/>
        <w:noProof/>
        <w:color w:val="637991"/>
        <w:sz w:val="28"/>
        <w:szCs w:val="20"/>
      </w:rPr>
      <w:drawing>
        <wp:inline distT="0" distB="0" distL="0" distR="0" wp14:anchorId="7D6D04F6" wp14:editId="5A644428">
          <wp:extent cx="68580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inlaw_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AF" w:rsidRDefault="009635AF">
    <w:r>
      <w:rPr>
        <w:rFonts w:ascii="ITC New Baskerville Std" w:hAnsi="ITC New Baskerville Std"/>
        <w:noProof/>
        <w:color w:val="637991"/>
        <w:sz w:val="28"/>
        <w:szCs w:val="20"/>
      </w:rPr>
      <w:drawing>
        <wp:inline distT="0" distB="0" distL="0" distR="0" wp14:anchorId="539796DC" wp14:editId="79835813">
          <wp:extent cx="6858000"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inlaw_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B72DF"/>
    <w:multiLevelType w:val="hybridMultilevel"/>
    <w:tmpl w:val="345C3732"/>
    <w:lvl w:ilvl="0" w:tplc="29621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7C06"/>
    <w:multiLevelType w:val="hybridMultilevel"/>
    <w:tmpl w:val="89A8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D1E58"/>
    <w:multiLevelType w:val="hybridMultilevel"/>
    <w:tmpl w:val="812CF9E4"/>
    <w:lvl w:ilvl="0" w:tplc="033C9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060"/>
    <w:multiLevelType w:val="multilevel"/>
    <w:tmpl w:val="0409001D"/>
    <w:numStyleLink w:val="KurtinPLLCStyle1"/>
  </w:abstractNum>
  <w:abstractNum w:abstractNumId="5">
    <w:nsid w:val="28B26A19"/>
    <w:multiLevelType w:val="hybridMultilevel"/>
    <w:tmpl w:val="3EC6B208"/>
    <w:lvl w:ilvl="0" w:tplc="296214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22CA"/>
    <w:multiLevelType w:val="hybridMultilevel"/>
    <w:tmpl w:val="CD6A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B6E5B"/>
    <w:multiLevelType w:val="multilevel"/>
    <w:tmpl w:val="0409001D"/>
    <w:styleLink w:val="KurtinPLLCStyle1"/>
    <w:lvl w:ilvl="0">
      <w:start w:val="1"/>
      <w:numFmt w:val="upperRoman"/>
      <w:lvlText w:val="%1"/>
      <w:lvlJc w:val="left"/>
      <w:pPr>
        <w:ind w:left="360" w:hanging="360"/>
      </w:pPr>
      <w:rPr>
        <w:rFonts w:ascii="Times New Roman" w:hAnsi="Times New Roman"/>
        <w:b w:val="0"/>
        <w:i w:val="0"/>
        <w:color w:val="auto"/>
        <w:sz w:val="24"/>
      </w:rPr>
    </w:lvl>
    <w:lvl w:ilvl="1">
      <w:start w:val="1"/>
      <w:numFmt w:val="lowerLetter"/>
      <w:lvlText w:val="%2)"/>
      <w:lvlJc w:val="left"/>
      <w:pPr>
        <w:ind w:left="720" w:hanging="360"/>
      </w:pPr>
      <w:rPr>
        <w:rFonts w:ascii="Times New Roman" w:hAnsi="Times New Roman"/>
        <w:b w:val="0"/>
        <w:i w:val="0"/>
        <w:color w:val="auto"/>
        <w:sz w:val="24"/>
      </w:rPr>
    </w:lvl>
    <w:lvl w:ilvl="2">
      <w:start w:val="1"/>
      <w:numFmt w:val="lowerRoman"/>
      <w:lvlText w:val="%3)"/>
      <w:lvlJc w:val="left"/>
      <w:pPr>
        <w:ind w:left="1080" w:hanging="360"/>
      </w:pPr>
      <w:rPr>
        <w:rFonts w:ascii="Times New Roman" w:hAnsi="Times New Roman"/>
        <w:b w:val="0"/>
        <w:sz w:val="24"/>
      </w:rPr>
    </w:lvl>
    <w:lvl w:ilvl="3">
      <w:start w:val="1"/>
      <w:numFmt w:val="decimal"/>
      <w:lvlText w:val="(%4)"/>
      <w:lvlJc w:val="left"/>
      <w:pPr>
        <w:ind w:left="1440" w:hanging="360"/>
      </w:pPr>
      <w:rPr>
        <w:rFonts w:ascii="Times New Roman" w:hAnsi="Times New Roman"/>
        <w:b w:val="0"/>
        <w:i w:val="0"/>
        <w:sz w:val="24"/>
      </w:rPr>
    </w:lvl>
    <w:lvl w:ilvl="4">
      <w:start w:val="1"/>
      <w:numFmt w:val="lowerLetter"/>
      <w:lvlText w:val="(%5)"/>
      <w:lvlJc w:val="left"/>
      <w:pPr>
        <w:ind w:left="1800" w:hanging="360"/>
      </w:pPr>
      <w:rPr>
        <w:rFonts w:ascii="Times New Roman" w:hAnsi="Times New Roman"/>
        <w:b w:val="0"/>
        <w:sz w:val="24"/>
      </w:rPr>
    </w:lvl>
    <w:lvl w:ilvl="5">
      <w:start w:val="1"/>
      <w:numFmt w:val="lowerRoman"/>
      <w:lvlText w:val="(%6)"/>
      <w:lvlJc w:val="left"/>
      <w:pPr>
        <w:ind w:left="2160" w:hanging="360"/>
      </w:pPr>
      <w:rPr>
        <w:rFonts w:ascii="Times New Roman" w:hAnsi="Times New Roman"/>
        <w:sz w:val="24"/>
      </w:rPr>
    </w:lvl>
    <w:lvl w:ilvl="6">
      <w:start w:val="1"/>
      <w:numFmt w:val="decimal"/>
      <w:lvlText w:val="%7."/>
      <w:lvlJc w:val="left"/>
      <w:pPr>
        <w:ind w:left="2520" w:hanging="360"/>
      </w:pPr>
      <w:rPr>
        <w:rFonts w:ascii="Times New Roman" w:hAnsi="Times New Roman"/>
        <w:sz w:val="24"/>
      </w:rPr>
    </w:lvl>
    <w:lvl w:ilvl="7">
      <w:start w:val="1"/>
      <w:numFmt w:val="lowerLetter"/>
      <w:lvlText w:val="%8."/>
      <w:lvlJc w:val="left"/>
      <w:pPr>
        <w:ind w:left="2880" w:hanging="360"/>
      </w:pPr>
      <w:rPr>
        <w:rFonts w:ascii="Times New Roman" w:hAnsi="Times New Roman"/>
        <w:sz w:val="24"/>
      </w:rPr>
    </w:lvl>
    <w:lvl w:ilvl="8">
      <w:start w:val="1"/>
      <w:numFmt w:val="lowerRoman"/>
      <w:lvlText w:val="%9."/>
      <w:lvlJc w:val="left"/>
      <w:pPr>
        <w:ind w:left="3240" w:hanging="360"/>
      </w:pPr>
      <w:rPr>
        <w:rFonts w:ascii="Times New Roman" w:hAnsi="Times New Roman"/>
        <w:sz w:val="24"/>
      </w:rPr>
    </w:lvl>
  </w:abstractNum>
  <w:abstractNum w:abstractNumId="8">
    <w:nsid w:val="511B2FD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F45121B"/>
    <w:multiLevelType w:val="hybridMultilevel"/>
    <w:tmpl w:val="84AAF7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72E46"/>
    <w:multiLevelType w:val="multilevel"/>
    <w:tmpl w:val="0409001D"/>
    <w:numStyleLink w:val="KurtinPLLCStyle1"/>
  </w:abstractNum>
  <w:abstractNum w:abstractNumId="11">
    <w:nsid w:val="74FE7348"/>
    <w:multiLevelType w:val="hybridMultilevel"/>
    <w:tmpl w:val="4BC096A8"/>
    <w:lvl w:ilvl="0" w:tplc="0846D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7"/>
  </w:num>
  <w:num w:numId="6">
    <w:abstractNumId w:val="4"/>
  </w:num>
  <w:num w:numId="7">
    <w:abstractNumId w:val="10"/>
  </w:num>
  <w:num w:numId="8">
    <w:abstractNumId w:val="1"/>
  </w:num>
  <w:num w:numId="9">
    <w:abstractNumId w:val="11"/>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52"/>
    <w:rsid w:val="000035B2"/>
    <w:rsid w:val="00055D8E"/>
    <w:rsid w:val="00081EE0"/>
    <w:rsid w:val="00096552"/>
    <w:rsid w:val="000D3031"/>
    <w:rsid w:val="001214B7"/>
    <w:rsid w:val="001A48AA"/>
    <w:rsid w:val="001E090B"/>
    <w:rsid w:val="001E30E3"/>
    <w:rsid w:val="001E72BE"/>
    <w:rsid w:val="00295A97"/>
    <w:rsid w:val="003417F0"/>
    <w:rsid w:val="0036739A"/>
    <w:rsid w:val="00404E8F"/>
    <w:rsid w:val="0042791A"/>
    <w:rsid w:val="00445B15"/>
    <w:rsid w:val="00454523"/>
    <w:rsid w:val="004C043A"/>
    <w:rsid w:val="00576C0F"/>
    <w:rsid w:val="005A770A"/>
    <w:rsid w:val="005D7244"/>
    <w:rsid w:val="005E1331"/>
    <w:rsid w:val="005F2F2C"/>
    <w:rsid w:val="006241F9"/>
    <w:rsid w:val="00667E2A"/>
    <w:rsid w:val="007A5959"/>
    <w:rsid w:val="007B0B72"/>
    <w:rsid w:val="007B2DE3"/>
    <w:rsid w:val="00817270"/>
    <w:rsid w:val="008A4B5F"/>
    <w:rsid w:val="008B4809"/>
    <w:rsid w:val="008C2B14"/>
    <w:rsid w:val="008E5CD1"/>
    <w:rsid w:val="008F1294"/>
    <w:rsid w:val="008F6542"/>
    <w:rsid w:val="00902CF9"/>
    <w:rsid w:val="00922443"/>
    <w:rsid w:val="009635AF"/>
    <w:rsid w:val="00972441"/>
    <w:rsid w:val="00996E37"/>
    <w:rsid w:val="009B761F"/>
    <w:rsid w:val="00A11CAB"/>
    <w:rsid w:val="00A535A9"/>
    <w:rsid w:val="00A6351A"/>
    <w:rsid w:val="00AB4679"/>
    <w:rsid w:val="00B269E5"/>
    <w:rsid w:val="00BD23DF"/>
    <w:rsid w:val="00BD487E"/>
    <w:rsid w:val="00C377B4"/>
    <w:rsid w:val="00D03FAE"/>
    <w:rsid w:val="00D30E45"/>
    <w:rsid w:val="00D72929"/>
    <w:rsid w:val="00D9673F"/>
    <w:rsid w:val="00EB4015"/>
    <w:rsid w:val="00FF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FF"/>
    <w:rPr>
      <w:rFonts w:ascii="Helvetica" w:hAnsi="Helvetica"/>
      <w:sz w:val="18"/>
      <w:szCs w:val="24"/>
    </w:rPr>
  </w:style>
  <w:style w:type="paragraph" w:styleId="Heading1">
    <w:name w:val="heading 1"/>
    <w:basedOn w:val="Normal"/>
    <w:next w:val="Normal"/>
    <w:qFormat/>
    <w:rsid w:val="002541FF"/>
    <w:pPr>
      <w:keepNext/>
      <w:spacing w:before="240" w:after="60"/>
      <w:outlineLvl w:val="0"/>
    </w:pPr>
    <w:rPr>
      <w:color w:val="000080"/>
      <w:kern w:val="32"/>
      <w:sz w:val="28"/>
      <w:szCs w:val="32"/>
    </w:rPr>
  </w:style>
  <w:style w:type="paragraph" w:styleId="Heading2">
    <w:name w:val="heading 2"/>
    <w:basedOn w:val="Normal"/>
    <w:next w:val="Normal"/>
    <w:qFormat/>
    <w:rsid w:val="002541FF"/>
    <w:pPr>
      <w:keepNext/>
      <w:spacing w:before="240" w:after="60"/>
      <w:outlineLvl w:val="1"/>
    </w:pPr>
    <w:rPr>
      <w:sz w:val="24"/>
      <w:szCs w:val="28"/>
    </w:rPr>
  </w:style>
  <w:style w:type="paragraph" w:styleId="Heading3">
    <w:name w:val="heading 3"/>
    <w:basedOn w:val="Normal"/>
    <w:next w:val="Normal"/>
    <w:qFormat/>
    <w:rsid w:val="002541FF"/>
    <w:pPr>
      <w:keepNext/>
      <w:spacing w:before="240" w:after="60"/>
      <w:outlineLvl w:val="2"/>
    </w:pPr>
    <w:rPr>
      <w:b/>
      <w:szCs w:val="26"/>
    </w:rPr>
  </w:style>
  <w:style w:type="paragraph" w:styleId="Heading4">
    <w:name w:val="heading 4"/>
    <w:basedOn w:val="Normal"/>
    <w:next w:val="Normal"/>
    <w:link w:val="Heading4Char"/>
    <w:uiPriority w:val="9"/>
    <w:semiHidden/>
    <w:unhideWhenUsed/>
    <w:qFormat/>
    <w:rsid w:val="00096552"/>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6552"/>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6552"/>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6552"/>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6552"/>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6552"/>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EC5"/>
    <w:pPr>
      <w:tabs>
        <w:tab w:val="center" w:pos="4320"/>
        <w:tab w:val="right" w:pos="8640"/>
      </w:tabs>
    </w:pPr>
  </w:style>
  <w:style w:type="paragraph" w:styleId="BalloonText">
    <w:name w:val="Balloon Text"/>
    <w:basedOn w:val="Normal"/>
    <w:link w:val="BalloonTextChar"/>
    <w:uiPriority w:val="99"/>
    <w:semiHidden/>
    <w:unhideWhenUsed/>
    <w:rsid w:val="00055D8E"/>
    <w:rPr>
      <w:rFonts w:ascii="Lucida Grande" w:hAnsi="Lucida Grande"/>
      <w:szCs w:val="18"/>
    </w:rPr>
  </w:style>
  <w:style w:type="character" w:customStyle="1" w:styleId="BalloonTextChar">
    <w:name w:val="Balloon Text Char"/>
    <w:basedOn w:val="DefaultParagraphFont"/>
    <w:link w:val="BalloonText"/>
    <w:uiPriority w:val="99"/>
    <w:semiHidden/>
    <w:rsid w:val="00055D8E"/>
    <w:rPr>
      <w:rFonts w:ascii="Lucida Grande" w:hAnsi="Lucida Grande"/>
      <w:sz w:val="18"/>
      <w:szCs w:val="18"/>
    </w:rPr>
  </w:style>
  <w:style w:type="character" w:customStyle="1" w:styleId="FooterChar">
    <w:name w:val="Footer Char"/>
    <w:basedOn w:val="DefaultParagraphFont"/>
    <w:link w:val="Footer"/>
    <w:uiPriority w:val="99"/>
    <w:rsid w:val="001A48AA"/>
    <w:rPr>
      <w:rFonts w:ascii="Helvetica" w:hAnsi="Helvetica"/>
      <w:sz w:val="18"/>
      <w:szCs w:val="24"/>
    </w:rPr>
  </w:style>
  <w:style w:type="character" w:styleId="Hyperlink">
    <w:name w:val="Hyperlink"/>
    <w:basedOn w:val="DefaultParagraphFont"/>
    <w:uiPriority w:val="99"/>
    <w:unhideWhenUsed/>
    <w:rsid w:val="003417F0"/>
    <w:rPr>
      <w:color w:val="0000FF" w:themeColor="hyperlink"/>
      <w:u w:val="single"/>
    </w:rPr>
  </w:style>
  <w:style w:type="paragraph" w:styleId="ListParagraph">
    <w:name w:val="List Paragraph"/>
    <w:basedOn w:val="Normal"/>
    <w:uiPriority w:val="34"/>
    <w:qFormat/>
    <w:rsid w:val="003417F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417F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96552"/>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uiPriority w:val="9"/>
    <w:semiHidden/>
    <w:rsid w:val="00096552"/>
    <w:rPr>
      <w:rFonts w:asciiTheme="majorHAnsi" w:eastAsiaTheme="majorEastAsia" w:hAnsiTheme="majorHAnsi" w:cstheme="majorBidi"/>
      <w:color w:val="243F60" w:themeColor="accent1" w:themeShade="7F"/>
      <w:sz w:val="18"/>
      <w:szCs w:val="24"/>
    </w:rPr>
  </w:style>
  <w:style w:type="character" w:customStyle="1" w:styleId="Heading6Char">
    <w:name w:val="Heading 6 Char"/>
    <w:basedOn w:val="DefaultParagraphFont"/>
    <w:link w:val="Heading6"/>
    <w:uiPriority w:val="9"/>
    <w:semiHidden/>
    <w:rsid w:val="00096552"/>
    <w:rPr>
      <w:rFonts w:asciiTheme="majorHAnsi" w:eastAsiaTheme="majorEastAsia" w:hAnsiTheme="majorHAnsi" w:cstheme="majorBidi"/>
      <w:i/>
      <w:iCs/>
      <w:color w:val="243F60" w:themeColor="accent1" w:themeShade="7F"/>
      <w:sz w:val="18"/>
      <w:szCs w:val="24"/>
    </w:rPr>
  </w:style>
  <w:style w:type="character" w:customStyle="1" w:styleId="Heading7Char">
    <w:name w:val="Heading 7 Char"/>
    <w:basedOn w:val="DefaultParagraphFont"/>
    <w:link w:val="Heading7"/>
    <w:uiPriority w:val="9"/>
    <w:semiHidden/>
    <w:rsid w:val="00096552"/>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uiPriority w:val="9"/>
    <w:semiHidden/>
    <w:rsid w:val="000965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96552"/>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096552"/>
    <w:pPr>
      <w:spacing w:after="240"/>
      <w:ind w:firstLine="720"/>
    </w:pPr>
    <w:rPr>
      <w:rFonts w:ascii="Times New Roman" w:hAnsi="Times New Roman"/>
      <w:noProof/>
      <w:sz w:val="24"/>
    </w:rPr>
  </w:style>
  <w:style w:type="character" w:customStyle="1" w:styleId="BodyTextChar">
    <w:name w:val="Body Text Char"/>
    <w:basedOn w:val="DefaultParagraphFont"/>
    <w:link w:val="BodyText"/>
    <w:semiHidden/>
    <w:rsid w:val="00096552"/>
    <w:rPr>
      <w:noProof/>
      <w:sz w:val="24"/>
      <w:szCs w:val="24"/>
    </w:rPr>
  </w:style>
  <w:style w:type="character" w:styleId="FollowedHyperlink">
    <w:name w:val="FollowedHyperlink"/>
    <w:basedOn w:val="DefaultParagraphFont"/>
    <w:uiPriority w:val="99"/>
    <w:semiHidden/>
    <w:unhideWhenUsed/>
    <w:rsid w:val="00096552"/>
    <w:rPr>
      <w:color w:val="800080" w:themeColor="followedHyperlink"/>
      <w:u w:val="single"/>
    </w:rPr>
  </w:style>
  <w:style w:type="numbering" w:customStyle="1" w:styleId="KurtinPLLCStyle1">
    <w:name w:val="Kurtin PLLC Style 1"/>
    <w:uiPriority w:val="99"/>
    <w:rsid w:val="00096552"/>
    <w:pPr>
      <w:numPr>
        <w:numId w:val="5"/>
      </w:numPr>
    </w:pPr>
  </w:style>
  <w:style w:type="paragraph" w:styleId="TOCHeading">
    <w:name w:val="TOC Heading"/>
    <w:basedOn w:val="Heading1"/>
    <w:next w:val="Normal"/>
    <w:uiPriority w:val="39"/>
    <w:semiHidden/>
    <w:unhideWhenUsed/>
    <w:qFormat/>
    <w:rsid w:val="00096552"/>
    <w:pPr>
      <w:keepLines/>
      <w:spacing w:before="480" w:after="0" w:line="276" w:lineRule="auto"/>
      <w:outlineLvl w:val="9"/>
    </w:pPr>
    <w:rPr>
      <w:rFonts w:asciiTheme="majorHAnsi" w:eastAsiaTheme="majorEastAsia" w:hAnsiTheme="majorHAnsi" w:cstheme="majorBidi"/>
      <w:b/>
      <w:bCs/>
      <w:color w:val="365F91"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FF"/>
    <w:rPr>
      <w:rFonts w:ascii="Helvetica" w:hAnsi="Helvetica"/>
      <w:sz w:val="18"/>
      <w:szCs w:val="24"/>
    </w:rPr>
  </w:style>
  <w:style w:type="paragraph" w:styleId="Heading1">
    <w:name w:val="heading 1"/>
    <w:basedOn w:val="Normal"/>
    <w:next w:val="Normal"/>
    <w:qFormat/>
    <w:rsid w:val="002541FF"/>
    <w:pPr>
      <w:keepNext/>
      <w:spacing w:before="240" w:after="60"/>
      <w:outlineLvl w:val="0"/>
    </w:pPr>
    <w:rPr>
      <w:color w:val="000080"/>
      <w:kern w:val="32"/>
      <w:sz w:val="28"/>
      <w:szCs w:val="32"/>
    </w:rPr>
  </w:style>
  <w:style w:type="paragraph" w:styleId="Heading2">
    <w:name w:val="heading 2"/>
    <w:basedOn w:val="Normal"/>
    <w:next w:val="Normal"/>
    <w:qFormat/>
    <w:rsid w:val="002541FF"/>
    <w:pPr>
      <w:keepNext/>
      <w:spacing w:before="240" w:after="60"/>
      <w:outlineLvl w:val="1"/>
    </w:pPr>
    <w:rPr>
      <w:sz w:val="24"/>
      <w:szCs w:val="28"/>
    </w:rPr>
  </w:style>
  <w:style w:type="paragraph" w:styleId="Heading3">
    <w:name w:val="heading 3"/>
    <w:basedOn w:val="Normal"/>
    <w:next w:val="Normal"/>
    <w:qFormat/>
    <w:rsid w:val="002541FF"/>
    <w:pPr>
      <w:keepNext/>
      <w:spacing w:before="240" w:after="60"/>
      <w:outlineLvl w:val="2"/>
    </w:pPr>
    <w:rPr>
      <w:b/>
      <w:szCs w:val="26"/>
    </w:rPr>
  </w:style>
  <w:style w:type="paragraph" w:styleId="Heading4">
    <w:name w:val="heading 4"/>
    <w:basedOn w:val="Normal"/>
    <w:next w:val="Normal"/>
    <w:link w:val="Heading4Char"/>
    <w:uiPriority w:val="9"/>
    <w:semiHidden/>
    <w:unhideWhenUsed/>
    <w:qFormat/>
    <w:rsid w:val="00096552"/>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6552"/>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6552"/>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6552"/>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6552"/>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6552"/>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EC5"/>
    <w:pPr>
      <w:tabs>
        <w:tab w:val="center" w:pos="4320"/>
        <w:tab w:val="right" w:pos="8640"/>
      </w:tabs>
    </w:pPr>
  </w:style>
  <w:style w:type="paragraph" w:styleId="BalloonText">
    <w:name w:val="Balloon Text"/>
    <w:basedOn w:val="Normal"/>
    <w:link w:val="BalloonTextChar"/>
    <w:uiPriority w:val="99"/>
    <w:semiHidden/>
    <w:unhideWhenUsed/>
    <w:rsid w:val="00055D8E"/>
    <w:rPr>
      <w:rFonts w:ascii="Lucida Grande" w:hAnsi="Lucida Grande"/>
      <w:szCs w:val="18"/>
    </w:rPr>
  </w:style>
  <w:style w:type="character" w:customStyle="1" w:styleId="BalloonTextChar">
    <w:name w:val="Balloon Text Char"/>
    <w:basedOn w:val="DefaultParagraphFont"/>
    <w:link w:val="BalloonText"/>
    <w:uiPriority w:val="99"/>
    <w:semiHidden/>
    <w:rsid w:val="00055D8E"/>
    <w:rPr>
      <w:rFonts w:ascii="Lucida Grande" w:hAnsi="Lucida Grande"/>
      <w:sz w:val="18"/>
      <w:szCs w:val="18"/>
    </w:rPr>
  </w:style>
  <w:style w:type="character" w:customStyle="1" w:styleId="FooterChar">
    <w:name w:val="Footer Char"/>
    <w:basedOn w:val="DefaultParagraphFont"/>
    <w:link w:val="Footer"/>
    <w:uiPriority w:val="99"/>
    <w:rsid w:val="001A48AA"/>
    <w:rPr>
      <w:rFonts w:ascii="Helvetica" w:hAnsi="Helvetica"/>
      <w:sz w:val="18"/>
      <w:szCs w:val="24"/>
    </w:rPr>
  </w:style>
  <w:style w:type="character" w:styleId="Hyperlink">
    <w:name w:val="Hyperlink"/>
    <w:basedOn w:val="DefaultParagraphFont"/>
    <w:uiPriority w:val="99"/>
    <w:unhideWhenUsed/>
    <w:rsid w:val="003417F0"/>
    <w:rPr>
      <w:color w:val="0000FF" w:themeColor="hyperlink"/>
      <w:u w:val="single"/>
    </w:rPr>
  </w:style>
  <w:style w:type="paragraph" w:styleId="ListParagraph">
    <w:name w:val="List Paragraph"/>
    <w:basedOn w:val="Normal"/>
    <w:uiPriority w:val="34"/>
    <w:qFormat/>
    <w:rsid w:val="003417F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417F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96552"/>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uiPriority w:val="9"/>
    <w:semiHidden/>
    <w:rsid w:val="00096552"/>
    <w:rPr>
      <w:rFonts w:asciiTheme="majorHAnsi" w:eastAsiaTheme="majorEastAsia" w:hAnsiTheme="majorHAnsi" w:cstheme="majorBidi"/>
      <w:color w:val="243F60" w:themeColor="accent1" w:themeShade="7F"/>
      <w:sz w:val="18"/>
      <w:szCs w:val="24"/>
    </w:rPr>
  </w:style>
  <w:style w:type="character" w:customStyle="1" w:styleId="Heading6Char">
    <w:name w:val="Heading 6 Char"/>
    <w:basedOn w:val="DefaultParagraphFont"/>
    <w:link w:val="Heading6"/>
    <w:uiPriority w:val="9"/>
    <w:semiHidden/>
    <w:rsid w:val="00096552"/>
    <w:rPr>
      <w:rFonts w:asciiTheme="majorHAnsi" w:eastAsiaTheme="majorEastAsia" w:hAnsiTheme="majorHAnsi" w:cstheme="majorBidi"/>
      <w:i/>
      <w:iCs/>
      <w:color w:val="243F60" w:themeColor="accent1" w:themeShade="7F"/>
      <w:sz w:val="18"/>
      <w:szCs w:val="24"/>
    </w:rPr>
  </w:style>
  <w:style w:type="character" w:customStyle="1" w:styleId="Heading7Char">
    <w:name w:val="Heading 7 Char"/>
    <w:basedOn w:val="DefaultParagraphFont"/>
    <w:link w:val="Heading7"/>
    <w:uiPriority w:val="9"/>
    <w:semiHidden/>
    <w:rsid w:val="00096552"/>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uiPriority w:val="9"/>
    <w:semiHidden/>
    <w:rsid w:val="000965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96552"/>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096552"/>
    <w:pPr>
      <w:spacing w:after="240"/>
      <w:ind w:firstLine="720"/>
    </w:pPr>
    <w:rPr>
      <w:rFonts w:ascii="Times New Roman" w:hAnsi="Times New Roman"/>
      <w:noProof/>
      <w:sz w:val="24"/>
    </w:rPr>
  </w:style>
  <w:style w:type="character" w:customStyle="1" w:styleId="BodyTextChar">
    <w:name w:val="Body Text Char"/>
    <w:basedOn w:val="DefaultParagraphFont"/>
    <w:link w:val="BodyText"/>
    <w:semiHidden/>
    <w:rsid w:val="00096552"/>
    <w:rPr>
      <w:noProof/>
      <w:sz w:val="24"/>
      <w:szCs w:val="24"/>
    </w:rPr>
  </w:style>
  <w:style w:type="character" w:styleId="FollowedHyperlink">
    <w:name w:val="FollowedHyperlink"/>
    <w:basedOn w:val="DefaultParagraphFont"/>
    <w:uiPriority w:val="99"/>
    <w:semiHidden/>
    <w:unhideWhenUsed/>
    <w:rsid w:val="00096552"/>
    <w:rPr>
      <w:color w:val="800080" w:themeColor="followedHyperlink"/>
      <w:u w:val="single"/>
    </w:rPr>
  </w:style>
  <w:style w:type="numbering" w:customStyle="1" w:styleId="KurtinPLLCStyle1">
    <w:name w:val="Kurtin PLLC Style 1"/>
    <w:uiPriority w:val="99"/>
    <w:rsid w:val="00096552"/>
    <w:pPr>
      <w:numPr>
        <w:numId w:val="5"/>
      </w:numPr>
    </w:pPr>
  </w:style>
  <w:style w:type="paragraph" w:styleId="TOCHeading">
    <w:name w:val="TOC Heading"/>
    <w:basedOn w:val="Heading1"/>
    <w:next w:val="Normal"/>
    <w:uiPriority w:val="39"/>
    <w:semiHidden/>
    <w:unhideWhenUsed/>
    <w:qFormat/>
    <w:rsid w:val="00096552"/>
    <w:pPr>
      <w:keepLines/>
      <w:spacing w:before="480" w:after="0" w:line="276" w:lineRule="auto"/>
      <w:outlineLvl w:val="9"/>
    </w:pPr>
    <w:rPr>
      <w:rFonts w:asciiTheme="majorHAnsi" w:eastAsiaTheme="majorEastAsia" w:hAnsiTheme="majorHAnsi" w:cstheme="majorBidi"/>
      <w:b/>
      <w:bCs/>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kurtinlaw.com" TargetMode="External"/><Relationship Id="rId4" Type="http://schemas.microsoft.com/office/2007/relationships/stylesWithEffects" Target="stylesWithEffects.xml"/><Relationship Id="rId9" Type="http://schemas.openxmlformats.org/officeDocument/2006/relationships/hyperlink" Target="http://www.kurtinlaw.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K\Dropbox\Kurtin%20PLLC\Marketing\2018%20Articles,%20Advisories,%20White%20Papers\Templates\Kurtin%20PLLC%20Deal%20Points-Advisory%20Word%20Template%202018%20Blue%20Header%20-%20Simple%20Footer-page%20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F7C8-CB1A-4825-919F-397B8DC1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Kurtin PLLC Deal Points-Advisory Word Template 2018 Blue Header - Simple Footer-page numbers</Template>
  <TotalTime>430</TotalTime>
  <Pages>22</Pages>
  <Words>7746</Words>
  <Characters>44153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¬¬¬Header goes here</vt:lpstr>
    </vt:vector>
  </TitlesOfParts>
  <Company>Hanee Designs</Company>
  <LinksUpToDate>false</LinksUpToDate>
  <CharactersWithSpaces>51796</CharactersWithSpaces>
  <SharedDoc>false</SharedDoc>
  <HLinks>
    <vt:vector size="30" baseType="variant">
      <vt:variant>
        <vt:i4>458832</vt:i4>
      </vt:variant>
      <vt:variant>
        <vt:i4>1541</vt:i4>
      </vt:variant>
      <vt:variant>
        <vt:i4>1025</vt:i4>
      </vt:variant>
      <vt:variant>
        <vt:i4>1</vt:i4>
      </vt:variant>
      <vt:variant>
        <vt:lpwstr>kurtinLaw-header</vt:lpwstr>
      </vt:variant>
      <vt:variant>
        <vt:lpwstr/>
      </vt:variant>
      <vt:variant>
        <vt:i4>458826</vt:i4>
      </vt:variant>
      <vt:variant>
        <vt:i4>1544</vt:i4>
      </vt:variant>
      <vt:variant>
        <vt:i4>1026</vt:i4>
      </vt:variant>
      <vt:variant>
        <vt:i4>1</vt:i4>
      </vt:variant>
      <vt:variant>
        <vt:lpwstr>kurtinLaw-footer</vt:lpwstr>
      </vt:variant>
      <vt:variant>
        <vt:lpwstr/>
      </vt:variant>
      <vt:variant>
        <vt:i4>8060955</vt:i4>
      </vt:variant>
      <vt:variant>
        <vt:i4>-1</vt:i4>
      </vt:variant>
      <vt:variant>
        <vt:i4>2055</vt:i4>
      </vt:variant>
      <vt:variant>
        <vt:i4>1</vt:i4>
      </vt:variant>
      <vt:variant>
        <vt:lpwstr>watermark</vt:lpwstr>
      </vt:variant>
      <vt:variant>
        <vt:lpwstr/>
      </vt:variant>
      <vt:variant>
        <vt:i4>8060955</vt:i4>
      </vt:variant>
      <vt:variant>
        <vt:i4>-1</vt:i4>
      </vt:variant>
      <vt:variant>
        <vt:i4>2056</vt:i4>
      </vt:variant>
      <vt:variant>
        <vt:i4>1</vt:i4>
      </vt:variant>
      <vt:variant>
        <vt:lpwstr>watermark</vt:lpwstr>
      </vt:variant>
      <vt:variant>
        <vt:lpwstr/>
      </vt:variant>
      <vt:variant>
        <vt:i4>8060955</vt:i4>
      </vt:variant>
      <vt:variant>
        <vt:i4>-1</vt:i4>
      </vt:variant>
      <vt:variant>
        <vt:i4>2057</vt:i4>
      </vt:variant>
      <vt:variant>
        <vt:i4>1</vt:i4>
      </vt:variant>
      <vt:variant>
        <vt:lpwstr>watermark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goes here</dc:title>
  <dc:creator>ODK</dc:creator>
  <cp:lastModifiedBy>ODK</cp:lastModifiedBy>
  <cp:revision>20</cp:revision>
  <cp:lastPrinted>2010-06-07T15:11:00Z</cp:lastPrinted>
  <dcterms:created xsi:type="dcterms:W3CDTF">2018-01-28T18:07:00Z</dcterms:created>
  <dcterms:modified xsi:type="dcterms:W3CDTF">2018-01-30T23:44:00Z</dcterms:modified>
</cp:coreProperties>
</file>