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6C" w:rsidRDefault="00CB006C" w:rsidP="00CB006C">
      <w:pPr>
        <w:rPr>
          <w:rFonts w:ascii="Times New Roman" w:hAnsi="Times New Roman"/>
          <w:sz w:val="24"/>
        </w:rPr>
      </w:pPr>
      <w:bookmarkStart w:id="0" w:name="_GoBack"/>
      <w:bookmarkEnd w:id="0"/>
      <w:r w:rsidRPr="00397435">
        <w:rPr>
          <w:rFonts w:ascii="Times New Roman" w:hAnsi="Times New Roman"/>
          <w:sz w:val="24"/>
        </w:rPr>
        <w:t>AN INTERNATIONAL JOINT VENTURE AGREEMENT CHECKLIST:  DEAL POINTS</w:t>
      </w:r>
    </w:p>
    <w:p w:rsidR="00CB006C" w:rsidRPr="00397435" w:rsidRDefault="00CB006C" w:rsidP="00CB006C">
      <w:pPr>
        <w:rPr>
          <w:rFonts w:ascii="Times New Roman" w:hAnsi="Times New Roman"/>
          <w:sz w:val="24"/>
        </w:rPr>
      </w:pPr>
      <w:r>
        <w:rPr>
          <w:rFonts w:ascii="Times New Roman" w:hAnsi="Times New Roman"/>
          <w:sz w:val="24"/>
        </w:rPr>
        <w:t>(Revised and Expanded)</w:t>
      </w:r>
    </w:p>
    <w:p w:rsidR="00CB006C" w:rsidRPr="00397435" w:rsidRDefault="00CB006C" w:rsidP="00CB006C">
      <w:pPr>
        <w:rPr>
          <w:rFonts w:ascii="Times New Roman" w:hAnsi="Times New Roman"/>
          <w:sz w:val="24"/>
        </w:rPr>
      </w:pPr>
    </w:p>
    <w:p w:rsidR="00CB006C" w:rsidRPr="00397435" w:rsidRDefault="00DB704F" w:rsidP="00CB006C">
      <w:pPr>
        <w:rPr>
          <w:rFonts w:ascii="Times New Roman" w:hAnsi="Times New Roman"/>
          <w:sz w:val="24"/>
        </w:rPr>
      </w:pPr>
      <w:r>
        <w:rPr>
          <w:rFonts w:ascii="Times New Roman" w:hAnsi="Times New Roman"/>
          <w:sz w:val="24"/>
        </w:rPr>
        <w:t>January</w:t>
      </w:r>
      <w:r w:rsidR="00CB006C" w:rsidRPr="00397435">
        <w:rPr>
          <w:rFonts w:ascii="Times New Roman" w:hAnsi="Times New Roman"/>
          <w:sz w:val="24"/>
        </w:rPr>
        <w:t xml:space="preserve"> 201</w:t>
      </w:r>
      <w:r>
        <w:rPr>
          <w:rFonts w:ascii="Times New Roman" w:hAnsi="Times New Roman"/>
          <w:sz w:val="24"/>
        </w:rPr>
        <w:t>8</w:t>
      </w:r>
    </w:p>
    <w:p w:rsidR="00CB006C" w:rsidRDefault="00CB006C" w:rsidP="00CB006C">
      <w:pPr>
        <w:widowControl w:val="0"/>
        <w:autoSpaceDE w:val="0"/>
        <w:autoSpaceDN w:val="0"/>
        <w:adjustRightInd w:val="0"/>
        <w:rPr>
          <w:rFonts w:ascii="Times New Roman" w:hAnsi="Times New Roman"/>
          <w:color w:val="3C3E40"/>
          <w:sz w:val="24"/>
        </w:rPr>
      </w:pPr>
    </w:p>
    <w:p w:rsidR="00CB006C" w:rsidRPr="004E073D" w:rsidRDefault="00CB006C" w:rsidP="00CB006C">
      <w:pPr>
        <w:pStyle w:val="ListParagraph"/>
        <w:widowControl w:val="0"/>
        <w:numPr>
          <w:ilvl w:val="0"/>
          <w:numId w:val="7"/>
        </w:numPr>
        <w:autoSpaceDE w:val="0"/>
        <w:autoSpaceDN w:val="0"/>
        <w:adjustRightInd w:val="0"/>
        <w:rPr>
          <w:rFonts w:ascii="Times New Roman" w:hAnsi="Times New Roman"/>
          <w:color w:val="3C3E40"/>
          <w:sz w:val="24"/>
        </w:rPr>
      </w:pPr>
      <w:r w:rsidRPr="004E073D">
        <w:rPr>
          <w:rFonts w:ascii="Times New Roman" w:hAnsi="Times New Roman"/>
          <w:color w:val="3C3E40"/>
          <w:sz w:val="24"/>
        </w:rPr>
        <w:t>Executive Summary.</w:t>
      </w:r>
    </w:p>
    <w:p w:rsidR="00CB006C" w:rsidRPr="00397435" w:rsidRDefault="00CB006C" w:rsidP="00CB006C">
      <w:pPr>
        <w:jc w:val="both"/>
        <w:rPr>
          <w:rFonts w:ascii="Times New Roman" w:hAnsi="Times New Roman"/>
          <w:sz w:val="24"/>
        </w:rPr>
      </w:pPr>
      <w:r w:rsidRPr="00397435">
        <w:rPr>
          <w:rFonts w:ascii="Times New Roman" w:hAnsi="Times New Roman"/>
          <w:sz w:val="24"/>
        </w:rPr>
        <w:t xml:space="preserve">This checklist </w:t>
      </w:r>
      <w:r>
        <w:rPr>
          <w:rFonts w:ascii="Times New Roman" w:hAnsi="Times New Roman"/>
          <w:sz w:val="24"/>
        </w:rPr>
        <w:t>was developed</w:t>
      </w:r>
      <w:r w:rsidRPr="00397435">
        <w:rPr>
          <w:rFonts w:ascii="Times New Roman" w:hAnsi="Times New Roman"/>
          <w:sz w:val="24"/>
        </w:rPr>
        <w:t xml:space="preserve"> </w:t>
      </w:r>
      <w:r>
        <w:rPr>
          <w:rFonts w:ascii="Times New Roman" w:hAnsi="Times New Roman"/>
          <w:sz w:val="24"/>
        </w:rPr>
        <w:t xml:space="preserve">by </w:t>
      </w:r>
      <w:r w:rsidRPr="00397435">
        <w:rPr>
          <w:rFonts w:ascii="Times New Roman" w:hAnsi="Times New Roman"/>
          <w:sz w:val="24"/>
        </w:rPr>
        <w:t xml:space="preserve">our firm </w:t>
      </w:r>
      <w:r>
        <w:rPr>
          <w:rFonts w:ascii="Times New Roman" w:hAnsi="Times New Roman"/>
          <w:sz w:val="24"/>
        </w:rPr>
        <w:t>a</w:t>
      </w:r>
      <w:r w:rsidRPr="00397435">
        <w:rPr>
          <w:rFonts w:ascii="Times New Roman" w:hAnsi="Times New Roman"/>
          <w:sz w:val="24"/>
        </w:rPr>
        <w:t>s a tool and guide to necessary and optional elements to consider in preparing to negotiate and document the principal agreement or deal document in an international or cross-border joint venture (JV) between a U.S. party or parties and one or more non-U.S. parties</w:t>
      </w:r>
      <w:r>
        <w:rPr>
          <w:rFonts w:ascii="Times New Roman" w:hAnsi="Times New Roman"/>
          <w:sz w:val="24"/>
        </w:rPr>
        <w:t>; it has been used by us specifically for cross-border JVs in the pharmaceuticals, chemicals, telecommunications, and satellite sectors</w:t>
      </w:r>
      <w:r w:rsidRPr="00397435">
        <w:rPr>
          <w:rFonts w:ascii="Times New Roman" w:hAnsi="Times New Roman"/>
          <w:sz w:val="24"/>
        </w:rPr>
        <w:t xml:space="preserve">.  </w:t>
      </w:r>
      <w:r>
        <w:rPr>
          <w:rFonts w:ascii="Times New Roman" w:hAnsi="Times New Roman"/>
          <w:sz w:val="24"/>
        </w:rPr>
        <w:t>Following</w:t>
      </w:r>
      <w:r w:rsidRPr="00ED1DFD">
        <w:rPr>
          <w:rFonts w:ascii="Times New Roman" w:hAnsi="Times New Roman"/>
          <w:sz w:val="24"/>
        </w:rPr>
        <w:t xml:space="preserve"> the checklist are “Deal Points,” which address the broader structure of the JV.  </w:t>
      </w:r>
      <w:r w:rsidRPr="00397435">
        <w:rPr>
          <w:rFonts w:ascii="Times New Roman" w:hAnsi="Times New Roman"/>
          <w:sz w:val="24"/>
        </w:rPr>
        <w:t xml:space="preserve"> </w:t>
      </w:r>
    </w:p>
    <w:p w:rsidR="00CB006C" w:rsidRPr="00397435" w:rsidRDefault="00CB006C" w:rsidP="00CB006C">
      <w:pPr>
        <w:jc w:val="both"/>
        <w:rPr>
          <w:rFonts w:ascii="Times New Roman" w:hAnsi="Times New Roman"/>
          <w:sz w:val="24"/>
        </w:rPr>
      </w:pPr>
    </w:p>
    <w:p w:rsidR="00CB006C" w:rsidRDefault="00CB006C" w:rsidP="00CB006C">
      <w:pPr>
        <w:jc w:val="both"/>
        <w:rPr>
          <w:rFonts w:ascii="Times New Roman" w:hAnsi="Times New Roman"/>
          <w:sz w:val="24"/>
        </w:rPr>
      </w:pPr>
      <w:r>
        <w:rPr>
          <w:rFonts w:ascii="Times New Roman" w:hAnsi="Times New Roman"/>
          <w:sz w:val="24"/>
        </w:rPr>
        <w:t xml:space="preserve">The checklist makes clear that the principal JV agreement that it is used to develop can be a corporation shareholders’ agreement, a partnership or limited partnership agreement, a limited liability company (LLC) operating agreement, or a bilateral or multilateral contract not embodying a business entity, for example, a JV agreement denominated as such or an investment agreement.  </w:t>
      </w:r>
    </w:p>
    <w:p w:rsidR="00CB006C" w:rsidRDefault="00CB006C" w:rsidP="00CB006C">
      <w:pPr>
        <w:jc w:val="both"/>
        <w:rPr>
          <w:rFonts w:ascii="Times New Roman" w:hAnsi="Times New Roman"/>
          <w:sz w:val="24"/>
        </w:rPr>
      </w:pPr>
    </w:p>
    <w:p w:rsidR="00CB006C" w:rsidRPr="00397435" w:rsidRDefault="00CB006C" w:rsidP="00CB006C">
      <w:pPr>
        <w:jc w:val="both"/>
        <w:rPr>
          <w:rFonts w:ascii="Times New Roman" w:hAnsi="Times New Roman"/>
          <w:sz w:val="24"/>
        </w:rPr>
      </w:pPr>
      <w:r w:rsidRPr="00397435">
        <w:rPr>
          <w:rFonts w:ascii="Times New Roman" w:hAnsi="Times New Roman"/>
          <w:sz w:val="24"/>
        </w:rPr>
        <w:t xml:space="preserve">As with any business transaction, the principal business terms and goals should be agreed to, at least broadly, before documenting them.  Use of a preliminary document such as a </w:t>
      </w:r>
      <w:r>
        <w:rPr>
          <w:rFonts w:ascii="Times New Roman" w:hAnsi="Times New Roman"/>
          <w:sz w:val="24"/>
        </w:rPr>
        <w:t xml:space="preserve">Term Sheet, </w:t>
      </w:r>
      <w:r w:rsidRPr="00397435">
        <w:rPr>
          <w:rFonts w:ascii="Times New Roman" w:hAnsi="Times New Roman"/>
          <w:sz w:val="24"/>
        </w:rPr>
        <w:t xml:space="preserve">Memorandum of Understanding (MoU) or a Letter of Intent (LoI) can facilitate making sure the general terms are in place.  The </w:t>
      </w:r>
      <w:r>
        <w:rPr>
          <w:rFonts w:ascii="Times New Roman" w:hAnsi="Times New Roman"/>
          <w:sz w:val="24"/>
        </w:rPr>
        <w:t xml:space="preserve">intended </w:t>
      </w:r>
      <w:r w:rsidRPr="00397435">
        <w:rPr>
          <w:rFonts w:ascii="Times New Roman" w:hAnsi="Times New Roman"/>
          <w:sz w:val="24"/>
        </w:rPr>
        <w:t>deal should drive the documentation, not the reverse.  The checklist for a given JV Agreement should evolve as the deal is negotiated, and more detailed notes and terms can be annexed to the checklist as schedules referenced by the checklist section number.</w:t>
      </w:r>
    </w:p>
    <w:p w:rsidR="00CB006C" w:rsidRPr="004E073D" w:rsidRDefault="00CB006C" w:rsidP="00CB006C">
      <w:pPr>
        <w:rPr>
          <w:rFonts w:ascii="Times New Roman" w:hAnsi="Times New Roman"/>
          <w:sz w:val="24"/>
        </w:rPr>
      </w:pPr>
    </w:p>
    <w:p w:rsidR="00CB006C" w:rsidRPr="004E073D" w:rsidRDefault="00CB006C" w:rsidP="00CB006C">
      <w:pPr>
        <w:pStyle w:val="ListParagraph"/>
        <w:numPr>
          <w:ilvl w:val="0"/>
          <w:numId w:val="7"/>
        </w:numPr>
        <w:rPr>
          <w:rFonts w:ascii="Times New Roman" w:hAnsi="Times New Roman"/>
          <w:sz w:val="24"/>
          <w:szCs w:val="24"/>
        </w:rPr>
      </w:pPr>
      <w:r w:rsidRPr="004E073D">
        <w:rPr>
          <w:rFonts w:ascii="Times New Roman" w:hAnsi="Times New Roman"/>
          <w:sz w:val="24"/>
          <w:szCs w:val="24"/>
        </w:rPr>
        <w:t>JV Agreement Checklist.</w:t>
      </w:r>
    </w:p>
    <w:tbl>
      <w:tblPr>
        <w:tblStyle w:val="TableGrid"/>
        <w:tblW w:w="0" w:type="auto"/>
        <w:tblInd w:w="585" w:type="dxa"/>
        <w:tblLook w:val="04A0" w:firstRow="1" w:lastRow="0" w:firstColumn="1" w:lastColumn="0" w:noHBand="0" w:noVBand="1"/>
      </w:tblPr>
      <w:tblGrid>
        <w:gridCol w:w="2689"/>
        <w:gridCol w:w="1749"/>
        <w:gridCol w:w="2994"/>
        <w:gridCol w:w="1292"/>
        <w:gridCol w:w="934"/>
      </w:tblGrid>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I.  Main Business Terms</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2"/>
              </w:numPr>
              <w:spacing w:after="0" w:line="240" w:lineRule="auto"/>
              <w:rPr>
                <w:rFonts w:ascii="Times New Roman" w:hAnsi="Times New Roman" w:cs="Times New Roman"/>
              </w:rPr>
            </w:pPr>
            <w:r w:rsidRPr="00397435">
              <w:rPr>
                <w:rFonts w:ascii="Times New Roman" w:hAnsi="Times New Roman" w:cs="Times New Roman"/>
              </w:rPr>
              <w:t>Parties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[Party]</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[Party]</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formation of subsidiaries, holding companies  or affiliates of venturers to serve as JV parties to isolate profits, losses and liabilities (esp. in case of bankruptcy or insolvency) or hold assets</w:t>
            </w:r>
          </w:p>
          <w:p w:rsidR="00CB006C" w:rsidRPr="00397435" w:rsidRDefault="00CB006C" w:rsidP="00681737">
            <w:pPr>
              <w:rPr>
                <w:rFonts w:ascii="Times New Roman" w:hAnsi="Times New Roman" w:cs="Times New Roman"/>
                <w:sz w:val="22"/>
                <w:szCs w:val="22"/>
              </w:rPr>
            </w:pPr>
          </w:p>
          <w:p w:rsidR="00CB006C"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whether third party creditors (banks, vendors) will demand guarantees by </w:t>
            </w:r>
            <w:r w:rsidRPr="00397435">
              <w:rPr>
                <w:rFonts w:ascii="Times New Roman" w:hAnsi="Times New Roman" w:cs="Times New Roman"/>
                <w:sz w:val="22"/>
                <w:szCs w:val="22"/>
              </w:rPr>
              <w:lastRenderedPageBreak/>
              <w:t>corporate parents</w:t>
            </w:r>
          </w:p>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lastRenderedPageBreak/>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2"/>
              </w:numPr>
              <w:spacing w:after="0" w:line="240" w:lineRule="auto"/>
              <w:rPr>
                <w:rFonts w:ascii="Times New Roman" w:hAnsi="Times New Roman" w:cs="Times New Roman"/>
              </w:rPr>
            </w:pPr>
            <w:r w:rsidRPr="00397435">
              <w:rPr>
                <w:rFonts w:ascii="Times New Roman" w:hAnsi="Times New Roman" w:cs="Times New Roman"/>
              </w:rPr>
              <w:t>Scope</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Define Scope and Purpose of JV</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whether JV should allow parties to widen or modify scope v. restrictive scope provision as to range of business engaged in, geographic scope, etc.  Exclusivi</w:t>
            </w:r>
            <w:r>
              <w:rPr>
                <w:rFonts w:ascii="Times New Roman" w:hAnsi="Times New Roman" w:cs="Times New Roman"/>
                <w:sz w:val="22"/>
                <w:szCs w:val="22"/>
              </w:rPr>
              <w:t xml:space="preserve">ty of relationship can </w:t>
            </w:r>
            <w:r w:rsidRPr="00397435">
              <w:rPr>
                <w:rFonts w:ascii="Times New Roman" w:hAnsi="Times New Roman" w:cs="Times New Roman"/>
                <w:sz w:val="22"/>
                <w:szCs w:val="22"/>
              </w:rPr>
              <w:t>be dealt with as part of “scope”</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2"/>
              </w:numPr>
              <w:spacing w:after="0" w:line="240" w:lineRule="auto"/>
              <w:rPr>
                <w:rFonts w:ascii="Times New Roman" w:hAnsi="Times New Roman" w:cs="Times New Roman"/>
              </w:rPr>
            </w:pPr>
            <w:r w:rsidRPr="00397435">
              <w:rPr>
                <w:rFonts w:ascii="Times New Roman" w:hAnsi="Times New Roman" w:cs="Times New Roman"/>
              </w:rPr>
              <w:t>Term and Termination</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Fixed Term v. Indefinite Term</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if fixed term, renewable?  If so, auto-renewal if no notice of termination v. must affirmatively agree to renew within [x] days of end of the then current term?  In any of these cases, what notice period?</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termination rights prior to the expiration of the initial or any renewal term.  See Section IV(D), below</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2"/>
              </w:numPr>
              <w:spacing w:after="0" w:line="240" w:lineRule="auto"/>
              <w:rPr>
                <w:rFonts w:ascii="Times New Roman" w:hAnsi="Times New Roman" w:cs="Times New Roman"/>
              </w:rPr>
            </w:pPr>
            <w:r w:rsidRPr="00397435">
              <w:rPr>
                <w:rFonts w:ascii="Times New Roman" w:hAnsi="Times New Roman" w:cs="Times New Roman"/>
              </w:rPr>
              <w:t>Ownership</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[Party]</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[Party]</w:t>
            </w:r>
          </w:p>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initial contribution of assets, cash, intangibles like intellectual property (“IP”) and their valuation; a form of subscription should be prepared and annexed</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whether foreign ownership restrictions require minority owner to have majority interest or other misalignment of economic contribution and ownership?</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foreign ownership </w:t>
            </w:r>
            <w:r>
              <w:rPr>
                <w:rFonts w:ascii="Times New Roman" w:hAnsi="Times New Roman" w:cs="Times New Roman"/>
                <w:sz w:val="22"/>
                <w:szCs w:val="22"/>
              </w:rPr>
              <w:t>i</w:t>
            </w:r>
            <w:r w:rsidRPr="00397435">
              <w:rPr>
                <w:rFonts w:ascii="Times New Roman" w:hAnsi="Times New Roman" w:cs="Times New Roman"/>
                <w:sz w:val="22"/>
                <w:szCs w:val="22"/>
              </w:rPr>
              <w:t xml:space="preserve">ssues for license-holding parties requiring formation of special purpose vehicles </w:t>
            </w:r>
            <w:r w:rsidRPr="00397435">
              <w:rPr>
                <w:rFonts w:ascii="Times New Roman" w:hAnsi="Times New Roman" w:cs="Times New Roman"/>
                <w:sz w:val="22"/>
                <w:szCs w:val="22"/>
              </w:rPr>
              <w:lastRenderedPageBreak/>
              <w:t>(“SPVs”) t</w:t>
            </w:r>
            <w:r>
              <w:rPr>
                <w:rFonts w:ascii="Times New Roman" w:hAnsi="Times New Roman" w:cs="Times New Roman"/>
                <w:sz w:val="22"/>
                <w:szCs w:val="22"/>
              </w:rPr>
              <w:t>o hold licenses, other?  Must a</w:t>
            </w:r>
            <w:r w:rsidRPr="00397435">
              <w:rPr>
                <w:rFonts w:ascii="Times New Roman" w:hAnsi="Times New Roman" w:cs="Times New Roman"/>
                <w:sz w:val="22"/>
                <w:szCs w:val="22"/>
              </w:rPr>
              <w:t>djust ownership percentages to comply?</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convertible debt or other hybrid instruments to satisfy local attribution rules to give minority owner a</w:t>
            </w:r>
            <w:r>
              <w:rPr>
                <w:rFonts w:ascii="Times New Roman" w:hAnsi="Times New Roman" w:cs="Times New Roman"/>
                <w:sz w:val="22"/>
                <w:szCs w:val="22"/>
              </w:rPr>
              <w:t>n economically-aligned</w:t>
            </w:r>
            <w:r w:rsidRPr="00397435">
              <w:rPr>
                <w:rFonts w:ascii="Times New Roman" w:hAnsi="Times New Roman" w:cs="Times New Roman"/>
                <w:sz w:val="22"/>
                <w:szCs w:val="22"/>
              </w:rPr>
              <w:t xml:space="preserve"> majority beneficial interest on an “as converted” basis</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2"/>
              </w:numPr>
              <w:spacing w:after="0" w:line="240" w:lineRule="auto"/>
              <w:rPr>
                <w:rFonts w:ascii="Times New Roman" w:hAnsi="Times New Roman" w:cs="Times New Roman"/>
              </w:rPr>
            </w:pPr>
            <w:r w:rsidRPr="00397435">
              <w:rPr>
                <w:rFonts w:ascii="Times New Roman" w:hAnsi="Times New Roman" w:cs="Times New Roman"/>
              </w:rPr>
              <w:t>Division and Distribution of Profits and Losses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]Dividends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]Periodic Distributions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Exceptional Distributions</w:t>
            </w:r>
          </w:p>
        </w:tc>
        <w:tc>
          <w:tcPr>
            <w:tcW w:w="2994" w:type="dxa"/>
          </w:tcPr>
          <w:p w:rsidR="00CB006C" w:rsidRPr="00397435" w:rsidRDefault="00CB006C" w:rsidP="00681737">
            <w:pPr>
              <w:rPr>
                <w:rFonts w:ascii="Times New Roman" w:hAnsi="Times New Roman" w:cs="Times New Roman"/>
                <w:sz w:val="22"/>
                <w:szCs w:val="22"/>
              </w:rPr>
            </w:pPr>
            <w:r>
              <w:rPr>
                <w:rFonts w:ascii="Times New Roman" w:hAnsi="Times New Roman" w:cs="Times New Roman"/>
                <w:sz w:val="22"/>
                <w:szCs w:val="22"/>
              </w:rPr>
              <w:t xml:space="preserve">Consider mandatory </w:t>
            </w:r>
            <w:r w:rsidRPr="00397435">
              <w:rPr>
                <w:rFonts w:ascii="Times New Roman" w:hAnsi="Times New Roman" w:cs="Times New Roman"/>
                <w:sz w:val="22"/>
                <w:szCs w:val="22"/>
              </w:rPr>
              <w:t>distribution provisions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“preferences” – for example, whether a party contributing cash is paid back first; preferences in the event of liquidation</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for tax and regulatory reasons, adjusting some distributions with employment, royalty-bearing license, service, and supply contracts that effectively “convert” profits to a fee </w:t>
            </w:r>
            <w:r>
              <w:rPr>
                <w:rFonts w:ascii="Times New Roman" w:hAnsi="Times New Roman" w:cs="Times New Roman"/>
                <w:sz w:val="22"/>
                <w:szCs w:val="22"/>
              </w:rPr>
              <w:t xml:space="preserve">or salary </w:t>
            </w:r>
            <w:r w:rsidRPr="00397435">
              <w:rPr>
                <w:rFonts w:ascii="Times New Roman" w:hAnsi="Times New Roman" w:cs="Times New Roman"/>
                <w:sz w:val="22"/>
                <w:szCs w:val="22"/>
              </w:rPr>
              <w:t>paid to a party</w:t>
            </w:r>
          </w:p>
          <w:p w:rsidR="00CB006C"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Pr>
                <w:rFonts w:ascii="Times New Roman" w:hAnsi="Times New Roman" w:cs="Times New Roman"/>
                <w:sz w:val="22"/>
                <w:szCs w:val="22"/>
              </w:rPr>
              <w:t>Consider currency hedging and currency repatriation mechanisms for non-U.S. capital, interest, dividends and royalties, including tax implications, both during term and upon dissolution or termination</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2"/>
              </w:numPr>
              <w:spacing w:after="0" w:line="240" w:lineRule="auto"/>
              <w:rPr>
                <w:rFonts w:ascii="Times New Roman" w:hAnsi="Times New Roman" w:cs="Times New Roman"/>
              </w:rPr>
            </w:pPr>
            <w:r w:rsidRPr="00397435">
              <w:rPr>
                <w:rFonts w:ascii="Times New Roman" w:hAnsi="Times New Roman" w:cs="Times New Roman"/>
              </w:rPr>
              <w:t>Business Plan and Budget</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how and by who prepared, on what schedule, how updated?</w:t>
            </w:r>
          </w:p>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II.  Regulatory Issues</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5"/>
              </w:numPr>
              <w:spacing w:after="0" w:line="240" w:lineRule="auto"/>
              <w:rPr>
                <w:rFonts w:ascii="Times New Roman" w:hAnsi="Times New Roman" w:cs="Times New Roman"/>
              </w:rPr>
            </w:pPr>
            <w:r w:rsidRPr="00397435">
              <w:rPr>
                <w:rFonts w:ascii="Times New Roman" w:hAnsi="Times New Roman" w:cs="Times New Roman"/>
              </w:rPr>
              <w:t xml:space="preserve">Antitrust </w:t>
            </w:r>
            <w:r>
              <w:rPr>
                <w:rFonts w:ascii="Times New Roman" w:hAnsi="Times New Roman" w:cs="Times New Roman"/>
              </w:rPr>
              <w:t>–</w:t>
            </w:r>
            <w:r w:rsidRPr="00397435">
              <w:rPr>
                <w:rFonts w:ascii="Times New Roman" w:hAnsi="Times New Roman" w:cs="Times New Roman"/>
              </w:rPr>
              <w:t xml:space="preserve"> Competition</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HSR Filing Required?</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Clayton </w:t>
            </w:r>
            <w:r w:rsidR="008228AE" w:rsidRPr="00397435">
              <w:rPr>
                <w:rFonts w:ascii="Times New Roman" w:hAnsi="Times New Roman" w:cs="Times New Roman"/>
                <w:sz w:val="22"/>
                <w:szCs w:val="22"/>
              </w:rPr>
              <w:t>Act section</w:t>
            </w:r>
            <w:r w:rsidRPr="00397435">
              <w:rPr>
                <w:rFonts w:ascii="Times New Roman" w:hAnsi="Times New Roman" w:cs="Times New Roman"/>
                <w:sz w:val="22"/>
                <w:szCs w:val="22"/>
              </w:rPr>
              <w:t xml:space="preserve"> 7 Review?</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Horizontal – Vertical Cooperation Issues?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E.U. Review?</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Other?</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that a joint venture in which a legal entity is formed (LLC, partnership, corporation) may activate the Hart-Scott-Rodino (HSR) reporting requirements, because HSR may treat each joint venture participant as an acquiring party and the JV entity as the acquired party.  The reporting dollar thresholds change every year and are listed on the Federal Trade Commission website, ftc.gov</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5"/>
              </w:numPr>
              <w:spacing w:after="0" w:line="240" w:lineRule="auto"/>
              <w:rPr>
                <w:rFonts w:ascii="Times New Roman" w:hAnsi="Times New Roman" w:cs="Times New Roman"/>
              </w:rPr>
            </w:pPr>
            <w:r w:rsidRPr="00397435">
              <w:rPr>
                <w:rFonts w:ascii="Times New Roman" w:hAnsi="Times New Roman" w:cs="Times New Roman"/>
              </w:rPr>
              <w:t>Foreign Ownership Restrictions?</w:t>
            </w:r>
          </w:p>
          <w:p w:rsidR="00CB006C" w:rsidRPr="00397435" w:rsidRDefault="00CB006C" w:rsidP="00681737">
            <w:pPr>
              <w:pStyle w:val="ListParagraph"/>
              <w:rPr>
                <w:rFonts w:ascii="Times New Roman" w:hAnsi="Times New Roman" w:cs="Times New Roman"/>
              </w:rPr>
            </w:pP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See Section I(D), above.  Foreign ownership restrictions, especially in sensitive or restricted industries with license holding requirements, can affect ownership structuring</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5"/>
              </w:numPr>
              <w:spacing w:after="0" w:line="240" w:lineRule="auto"/>
              <w:rPr>
                <w:rFonts w:ascii="Times New Roman" w:hAnsi="Times New Roman" w:cs="Times New Roman"/>
              </w:rPr>
            </w:pPr>
            <w:r w:rsidRPr="00397435">
              <w:rPr>
                <w:rFonts w:ascii="Times New Roman" w:hAnsi="Times New Roman" w:cs="Times New Roman"/>
              </w:rPr>
              <w:t>Committee for Foreign Investment in the  U.S. (CFIUS) Review?</w:t>
            </w:r>
          </w:p>
          <w:p w:rsidR="00CB006C" w:rsidRPr="00397435" w:rsidRDefault="00CB006C" w:rsidP="00681737">
            <w:pPr>
              <w:pStyle w:val="ListParagraph"/>
              <w:spacing w:after="0" w:line="240" w:lineRule="auto"/>
              <w:rPr>
                <w:rFonts w:ascii="Times New Roman" w:hAnsi="Times New Roman" w:cs="Times New Roman"/>
              </w:rPr>
            </w:pPr>
          </w:p>
          <w:p w:rsidR="00CB006C" w:rsidRPr="00397435" w:rsidRDefault="00CB006C" w:rsidP="00681737">
            <w:pPr>
              <w:pStyle w:val="ListParagraph"/>
              <w:spacing w:after="0" w:line="240" w:lineRule="auto"/>
              <w:rPr>
                <w:rFonts w:ascii="Times New Roman" w:hAnsi="Times New Roman" w:cs="Times New Roman"/>
              </w:rPr>
            </w:pPr>
            <w:r w:rsidRPr="00397435">
              <w:rPr>
                <w:rFonts w:ascii="Times New Roman" w:hAnsi="Times New Roman" w:cs="Times New Roman"/>
              </w:rPr>
              <w:t>(Other Country Inbound investment issues)?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whether “sensitive industries” subject to foreign investment review are implicated, and front-loading of any necessary review</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5"/>
              </w:numPr>
              <w:spacing w:after="0" w:line="240" w:lineRule="auto"/>
              <w:rPr>
                <w:rFonts w:ascii="Times New Roman" w:hAnsi="Times New Roman" w:cs="Times New Roman"/>
              </w:rPr>
            </w:pPr>
            <w:r w:rsidRPr="00397435">
              <w:rPr>
                <w:rFonts w:ascii="Times New Roman" w:hAnsi="Times New Roman" w:cs="Times New Roman"/>
              </w:rPr>
              <w:t xml:space="preserve">Industry-Specific Regulatory </w:t>
            </w:r>
            <w:r w:rsidRPr="00397435">
              <w:rPr>
                <w:rFonts w:ascii="Times New Roman" w:hAnsi="Times New Roman" w:cs="Times New Roman"/>
              </w:rPr>
              <w:lastRenderedPageBreak/>
              <w:t>Review?</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lastRenderedPageBreak/>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when regulated industries such as financial </w:t>
            </w:r>
            <w:r w:rsidRPr="00397435">
              <w:rPr>
                <w:rFonts w:ascii="Times New Roman" w:hAnsi="Times New Roman" w:cs="Times New Roman"/>
                <w:sz w:val="22"/>
                <w:szCs w:val="22"/>
              </w:rPr>
              <w:lastRenderedPageBreak/>
              <w:t>services and securities, food and drug, radio communications, media, aerospace and defense are involved</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5"/>
              </w:numPr>
              <w:spacing w:after="0" w:line="240" w:lineRule="auto"/>
              <w:rPr>
                <w:rFonts w:ascii="Times New Roman" w:hAnsi="Times New Roman" w:cs="Times New Roman"/>
              </w:rPr>
            </w:pPr>
            <w:r w:rsidRPr="00397435">
              <w:rPr>
                <w:rFonts w:ascii="Times New Roman" w:hAnsi="Times New Roman" w:cs="Times New Roman"/>
              </w:rPr>
              <w:t>Technology Export or Transfer Issues?</w:t>
            </w:r>
          </w:p>
          <w:p w:rsidR="00CB006C" w:rsidRPr="00397435" w:rsidRDefault="00CB006C" w:rsidP="00681737">
            <w:pPr>
              <w:pStyle w:val="ListParagraph"/>
              <w:spacing w:after="0" w:line="240" w:lineRule="auto"/>
              <w:rPr>
                <w:rFonts w:ascii="Times New Roman" w:hAnsi="Times New Roman" w:cs="Times New Roman"/>
              </w:rPr>
            </w:pPr>
          </w:p>
          <w:p w:rsidR="00CB006C" w:rsidRPr="00397435" w:rsidRDefault="00CB006C" w:rsidP="00681737">
            <w:pPr>
              <w:pStyle w:val="ListParagraph"/>
              <w:spacing w:after="0" w:line="240" w:lineRule="auto"/>
              <w:rPr>
                <w:rFonts w:ascii="Times New Roman" w:hAnsi="Times New Roman" w:cs="Times New Roman"/>
              </w:rPr>
            </w:pPr>
          </w:p>
          <w:p w:rsidR="00CB006C" w:rsidRPr="00397435" w:rsidRDefault="00CB006C" w:rsidP="00681737">
            <w:pPr>
              <w:pStyle w:val="ListParagraph"/>
              <w:spacing w:after="0" w:line="240" w:lineRule="auto"/>
              <w:rPr>
                <w:rFonts w:ascii="Times New Roman" w:hAnsi="Times New Roman" w:cs="Times New Roman"/>
              </w:rPr>
            </w:pPr>
          </w:p>
          <w:p w:rsidR="00CB006C" w:rsidRPr="00397435" w:rsidRDefault="00CB006C" w:rsidP="00681737">
            <w:pPr>
              <w:pStyle w:val="ListParagraph"/>
              <w:spacing w:after="0" w:line="240" w:lineRule="auto"/>
              <w:rPr>
                <w:rFonts w:ascii="Times New Roman" w:hAnsi="Times New Roman" w:cs="Times New Roman"/>
              </w:rPr>
            </w:pPr>
          </w:p>
          <w:p w:rsidR="00CB006C" w:rsidRPr="00397435" w:rsidRDefault="00CB006C" w:rsidP="00681737">
            <w:pPr>
              <w:pStyle w:val="ListParagraph"/>
              <w:spacing w:after="0" w:line="240" w:lineRule="auto"/>
              <w:rPr>
                <w:rFonts w:ascii="Times New Roman" w:hAnsi="Times New Roman" w:cs="Times New Roman"/>
              </w:rPr>
            </w:pPr>
          </w:p>
          <w:p w:rsidR="00CB006C" w:rsidRDefault="00CB006C" w:rsidP="00681737">
            <w:pPr>
              <w:pStyle w:val="ListParagraph"/>
              <w:spacing w:after="0" w:line="240" w:lineRule="auto"/>
              <w:rPr>
                <w:rFonts w:ascii="Times New Roman" w:hAnsi="Times New Roman" w:cs="Times New Roman"/>
              </w:rPr>
            </w:pPr>
          </w:p>
          <w:p w:rsidR="00CB006C" w:rsidRPr="00397435" w:rsidRDefault="00CB006C" w:rsidP="00681737">
            <w:pPr>
              <w:pStyle w:val="ListParagraph"/>
              <w:spacing w:after="0" w:line="240" w:lineRule="auto"/>
              <w:rPr>
                <w:rFonts w:ascii="Times New Roman" w:hAnsi="Times New Roman" w:cs="Times New Roman"/>
              </w:rPr>
            </w:pPr>
            <w:r w:rsidRPr="00397435">
              <w:rPr>
                <w:rFonts w:ascii="Times New Roman" w:hAnsi="Times New Roman" w:cs="Times New Roman"/>
              </w:rPr>
              <w:t>Economic Sanction</w:t>
            </w:r>
            <w:r>
              <w:rPr>
                <w:rFonts w:ascii="Times New Roman" w:hAnsi="Times New Roman" w:cs="Times New Roman"/>
              </w:rPr>
              <w:t>s</w:t>
            </w:r>
            <w:r w:rsidRPr="00397435">
              <w:rPr>
                <w:rFonts w:ascii="Times New Roman" w:hAnsi="Times New Roman" w:cs="Times New Roman"/>
              </w:rPr>
              <w:t xml:space="preserve"> Issues?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pStyle w:val="BodyText"/>
              <w:ind w:firstLine="0"/>
              <w:rPr>
                <w:rFonts w:cs="Times New Roman"/>
                <w:sz w:val="22"/>
                <w:szCs w:val="22"/>
              </w:rPr>
            </w:pPr>
            <w:r w:rsidRPr="00397435">
              <w:rPr>
                <w:rFonts w:cs="Times New Roman"/>
                <w:sz w:val="22"/>
                <w:szCs w:val="22"/>
              </w:rPr>
              <w:t>Review for Commerce Department Export Administration Regulations (EAR) and/or State Department International Traffic in Arms Regulations (ITAR) Issues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Review for Treasury Department Office of Foreign Assets Control (OFAC) or other economic transfer restrictions, including use of U.S. currency and/or use of U.S. banking system to clear transactions</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rPr>
          <w:trHeight w:val="287"/>
        </w:trPr>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5"/>
              </w:numPr>
              <w:spacing w:after="0" w:line="240" w:lineRule="auto"/>
              <w:rPr>
                <w:rFonts w:ascii="Times New Roman" w:hAnsi="Times New Roman" w:cs="Times New Roman"/>
              </w:rPr>
            </w:pPr>
            <w:r w:rsidRPr="00397435">
              <w:rPr>
                <w:rFonts w:ascii="Times New Roman" w:hAnsi="Times New Roman" w:cs="Times New Roman"/>
              </w:rPr>
              <w:t>Tax and Accounting</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federal and state tax </w:t>
            </w:r>
            <w:r>
              <w:rPr>
                <w:rFonts w:ascii="Times New Roman" w:hAnsi="Times New Roman" w:cs="Times New Roman"/>
                <w:sz w:val="22"/>
                <w:szCs w:val="22"/>
              </w:rPr>
              <w:t>i</w:t>
            </w:r>
            <w:r w:rsidRPr="00397435">
              <w:rPr>
                <w:rFonts w:ascii="Times New Roman" w:hAnsi="Times New Roman" w:cs="Times New Roman"/>
                <w:sz w:val="22"/>
                <w:szCs w:val="22"/>
              </w:rPr>
              <w:t>ssues, ability to benefit from tax subsidies and tax credits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“flow-through” tax treatment of LLC and </w:t>
            </w:r>
            <w:r>
              <w:rPr>
                <w:rFonts w:ascii="Times New Roman" w:hAnsi="Times New Roman" w:cs="Times New Roman"/>
                <w:sz w:val="22"/>
                <w:szCs w:val="22"/>
              </w:rPr>
              <w:t>Partnership forms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treatment of goodwill and any intangibles contributed to JV</w:t>
            </w:r>
          </w:p>
          <w:p w:rsidR="00CB006C" w:rsidRPr="00397435" w:rsidRDefault="00CB006C" w:rsidP="00681737">
            <w:pPr>
              <w:rPr>
                <w:rFonts w:ascii="Times New Roman" w:hAnsi="Times New Roman" w:cs="Times New Roman"/>
                <w:sz w:val="22"/>
                <w:szCs w:val="22"/>
              </w:rPr>
            </w:pPr>
          </w:p>
          <w:p w:rsidR="00CB006C"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Establish and document auditing and reporting </w:t>
            </w:r>
            <w:r>
              <w:rPr>
                <w:rFonts w:ascii="Times New Roman" w:hAnsi="Times New Roman" w:cs="Times New Roman"/>
                <w:sz w:val="22"/>
                <w:szCs w:val="22"/>
              </w:rPr>
              <w:t xml:space="preserve">rights and </w:t>
            </w:r>
            <w:r w:rsidRPr="00397435">
              <w:rPr>
                <w:rFonts w:ascii="Times New Roman" w:hAnsi="Times New Roman" w:cs="Times New Roman"/>
                <w:sz w:val="22"/>
                <w:szCs w:val="22"/>
              </w:rPr>
              <w:t>obligations</w:t>
            </w:r>
          </w:p>
          <w:p w:rsidR="00CB006C"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Pr>
                <w:rFonts w:ascii="Times New Roman" w:hAnsi="Times New Roman" w:cs="Times New Roman"/>
                <w:sz w:val="22"/>
                <w:szCs w:val="22"/>
              </w:rPr>
              <w:t xml:space="preserve">Consider tax implications of capital, interest, dividends and royalties, including foreign </w:t>
            </w:r>
            <w:r>
              <w:rPr>
                <w:rFonts w:ascii="Times New Roman" w:hAnsi="Times New Roman" w:cs="Times New Roman"/>
                <w:sz w:val="22"/>
                <w:szCs w:val="22"/>
              </w:rPr>
              <w:lastRenderedPageBreak/>
              <w:t>earnings repatriations, both during term and upon dissolution/termination</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252431" w:rsidRPr="00397435" w:rsidTr="00681737">
        <w:tc>
          <w:tcPr>
            <w:tcW w:w="2689" w:type="dxa"/>
          </w:tcPr>
          <w:p w:rsidR="00252431" w:rsidRPr="00397435" w:rsidRDefault="00252431" w:rsidP="00681737">
            <w:pPr>
              <w:rPr>
                <w:rFonts w:ascii="Times New Roman" w:hAnsi="Times New Roman"/>
                <w:sz w:val="22"/>
                <w:szCs w:val="22"/>
              </w:rPr>
            </w:pPr>
          </w:p>
        </w:tc>
        <w:tc>
          <w:tcPr>
            <w:tcW w:w="1749" w:type="dxa"/>
          </w:tcPr>
          <w:p w:rsidR="00252431" w:rsidRPr="00397435" w:rsidRDefault="00252431" w:rsidP="00681737">
            <w:pPr>
              <w:rPr>
                <w:rFonts w:ascii="Times New Roman" w:hAnsi="Times New Roman"/>
                <w:sz w:val="22"/>
                <w:szCs w:val="22"/>
              </w:rPr>
            </w:pPr>
          </w:p>
        </w:tc>
        <w:tc>
          <w:tcPr>
            <w:tcW w:w="2994" w:type="dxa"/>
          </w:tcPr>
          <w:p w:rsidR="00252431" w:rsidRPr="00397435" w:rsidRDefault="00252431" w:rsidP="00681737">
            <w:pPr>
              <w:rPr>
                <w:rFonts w:ascii="Times New Roman" w:hAnsi="Times New Roman"/>
                <w:sz w:val="22"/>
                <w:szCs w:val="22"/>
              </w:rPr>
            </w:pPr>
          </w:p>
        </w:tc>
        <w:tc>
          <w:tcPr>
            <w:tcW w:w="1292" w:type="dxa"/>
          </w:tcPr>
          <w:p w:rsidR="00252431" w:rsidRPr="00397435" w:rsidRDefault="00252431" w:rsidP="00681737">
            <w:pPr>
              <w:rPr>
                <w:rFonts w:ascii="Times New Roman" w:hAnsi="Times New Roman"/>
                <w:sz w:val="22"/>
                <w:szCs w:val="22"/>
              </w:rPr>
            </w:pPr>
          </w:p>
        </w:tc>
        <w:tc>
          <w:tcPr>
            <w:tcW w:w="934" w:type="dxa"/>
          </w:tcPr>
          <w:p w:rsidR="00252431" w:rsidRPr="00397435" w:rsidRDefault="00252431"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5"/>
              </w:numPr>
              <w:spacing w:after="0" w:line="240" w:lineRule="auto"/>
              <w:rPr>
                <w:rFonts w:ascii="Times New Roman" w:hAnsi="Times New Roman" w:cs="Times New Roman"/>
              </w:rPr>
            </w:pPr>
            <w:r w:rsidRPr="00397435">
              <w:rPr>
                <w:rFonts w:ascii="Times New Roman" w:hAnsi="Times New Roman" w:cs="Times New Roman"/>
              </w:rPr>
              <w:t>Insurance</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liability, D&amp;O, other, allocation of responsibility between venturers</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III.  Preliminary Documentation</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Term Sheet, </w:t>
            </w:r>
            <w:r w:rsidRPr="00397435">
              <w:rPr>
                <w:rFonts w:ascii="Times New Roman" w:hAnsi="Times New Roman" w:cs="Times New Roman"/>
              </w:rPr>
              <w:t>Letter of Intent or Memorandum of Understanding</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whether any provisions or entire </w:t>
            </w:r>
            <w:r>
              <w:rPr>
                <w:rFonts w:ascii="Times New Roman" w:hAnsi="Times New Roman" w:cs="Times New Roman"/>
                <w:sz w:val="22"/>
                <w:szCs w:val="22"/>
              </w:rPr>
              <w:t xml:space="preserve">Term Sheet, </w:t>
            </w:r>
            <w:r w:rsidRPr="00397435">
              <w:rPr>
                <w:rFonts w:ascii="Times New Roman" w:hAnsi="Times New Roman" w:cs="Times New Roman"/>
                <w:sz w:val="22"/>
                <w:szCs w:val="22"/>
              </w:rPr>
              <w:t>L</w:t>
            </w:r>
            <w:r>
              <w:rPr>
                <w:rFonts w:ascii="Times New Roman" w:hAnsi="Times New Roman" w:cs="Times New Roman"/>
                <w:sz w:val="22"/>
                <w:szCs w:val="22"/>
              </w:rPr>
              <w:t>o</w:t>
            </w:r>
            <w:r w:rsidRPr="00397435">
              <w:rPr>
                <w:rFonts w:ascii="Times New Roman" w:hAnsi="Times New Roman" w:cs="Times New Roman"/>
                <w:sz w:val="22"/>
                <w:szCs w:val="22"/>
              </w:rPr>
              <w:t>I or M</w:t>
            </w:r>
            <w:r>
              <w:rPr>
                <w:rFonts w:ascii="Times New Roman" w:hAnsi="Times New Roman" w:cs="Times New Roman"/>
                <w:sz w:val="22"/>
                <w:szCs w:val="22"/>
              </w:rPr>
              <w:t>o</w:t>
            </w:r>
            <w:r w:rsidRPr="00397435">
              <w:rPr>
                <w:rFonts w:ascii="Times New Roman" w:hAnsi="Times New Roman" w:cs="Times New Roman"/>
                <w:sz w:val="22"/>
                <w:szCs w:val="22"/>
              </w:rPr>
              <w:t>U should be binding (frequently, confidentiality and standstill, no-shop/go-shop provisions are binding)</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6"/>
              </w:numPr>
              <w:spacing w:after="0" w:line="240" w:lineRule="auto"/>
              <w:rPr>
                <w:rFonts w:ascii="Times New Roman" w:hAnsi="Times New Roman" w:cs="Times New Roman"/>
              </w:rPr>
            </w:pPr>
            <w:r w:rsidRPr="00397435">
              <w:rPr>
                <w:rFonts w:ascii="Times New Roman" w:hAnsi="Times New Roman" w:cs="Times New Roman"/>
              </w:rPr>
              <w:t>Confidentiality</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duration of confidentiality provisions, whether confidentiality should survive JV termination</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6"/>
              </w:numPr>
              <w:spacing w:after="0" w:line="240" w:lineRule="auto"/>
              <w:rPr>
                <w:rFonts w:ascii="Times New Roman" w:hAnsi="Times New Roman" w:cs="Times New Roman"/>
              </w:rPr>
            </w:pPr>
            <w:r w:rsidRPr="00397435">
              <w:rPr>
                <w:rFonts w:ascii="Times New Roman" w:hAnsi="Times New Roman" w:cs="Times New Roman"/>
              </w:rPr>
              <w:t>Press Release</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8-K filing may be necessary for public companies</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IV.  Principal Documentation - JV Agreement</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3"/>
              </w:numPr>
              <w:spacing w:after="0" w:line="240" w:lineRule="auto"/>
              <w:rPr>
                <w:rFonts w:ascii="Times New Roman" w:hAnsi="Times New Roman" w:cs="Times New Roman"/>
              </w:rPr>
            </w:pPr>
            <w:r w:rsidRPr="00397435">
              <w:rPr>
                <w:rFonts w:ascii="Times New Roman" w:hAnsi="Times New Roman" w:cs="Times New Roman"/>
              </w:rPr>
              <w:t>Form of JV</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LLC</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LP</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Corp</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Contract</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See Section II (F), “Tax and Accounting” above</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3"/>
              </w:numPr>
              <w:spacing w:after="0" w:line="240" w:lineRule="auto"/>
              <w:rPr>
                <w:rFonts w:ascii="Times New Roman" w:hAnsi="Times New Roman" w:cs="Times New Roman"/>
              </w:rPr>
            </w:pPr>
            <w:r w:rsidRPr="00397435">
              <w:rPr>
                <w:rFonts w:ascii="Times New Roman" w:hAnsi="Times New Roman" w:cs="Times New Roman"/>
              </w:rPr>
              <w:t>Management</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Board</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Officers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Committee</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Mgmt Member</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lastRenderedPageBreak/>
              <w:t>[ ] GP</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lastRenderedPageBreak/>
              <w:t>Consider any management committees, officers charged with specific responsibilities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indemnification of </w:t>
            </w:r>
            <w:r w:rsidRPr="00397435">
              <w:rPr>
                <w:rFonts w:ascii="Times New Roman" w:hAnsi="Times New Roman" w:cs="Times New Roman"/>
                <w:sz w:val="22"/>
                <w:szCs w:val="22"/>
              </w:rPr>
              <w:lastRenderedPageBreak/>
              <w:t>directors, officers by JV participants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Provide for board meetings, how called, how often, quorums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board “supermajority” and/or veto right provisions for out-of-the-ordinary course events in JV lifecycle, such as capital calls, incurring of debt, dissolution, contracting over a set dollar value, etc.</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3"/>
              </w:numPr>
              <w:spacing w:after="0" w:line="240" w:lineRule="auto"/>
              <w:rPr>
                <w:rFonts w:ascii="Times New Roman" w:hAnsi="Times New Roman" w:cs="Times New Roman"/>
              </w:rPr>
            </w:pPr>
            <w:r w:rsidRPr="00397435">
              <w:rPr>
                <w:rFonts w:ascii="Times New Roman" w:hAnsi="Times New Roman" w:cs="Times New Roman"/>
              </w:rPr>
              <w:t>Management Representation</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Proportional</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Other</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whether foreign ownership restrictions require minority owner board control?</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3"/>
              </w:numPr>
              <w:spacing w:after="0" w:line="240" w:lineRule="auto"/>
              <w:rPr>
                <w:rFonts w:ascii="Times New Roman" w:hAnsi="Times New Roman" w:cs="Times New Roman"/>
              </w:rPr>
            </w:pPr>
            <w:r w:rsidRPr="00397435">
              <w:rPr>
                <w:rFonts w:ascii="Times New Roman" w:hAnsi="Times New Roman" w:cs="Times New Roman"/>
              </w:rPr>
              <w:t>Termination or Dissolution</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Right to Terminate at Will?</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Right to Terminate for Cause?</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Termination as a result of event?</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termination/dissolution for various defaults, failure to reach milestones, losses, insolvency/bankruptcy</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“cure” rights for cause terminations, and whether some “cause” terminations are excluded from any right to cure, especially those with regulatory/criminal risk</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distribution of JV assets, including cash, a/r, liabilities, IP (treating both pre-existing IP and IP developed jointly during the JV term), upon termination:  </w:t>
            </w:r>
            <w:r w:rsidRPr="00397435">
              <w:rPr>
                <w:rFonts w:ascii="Times New Roman" w:hAnsi="Times New Roman" w:cs="Times New Roman"/>
                <w:sz w:val="22"/>
                <w:szCs w:val="22"/>
              </w:rPr>
              <w:lastRenderedPageBreak/>
              <w:t>preferences, modes of distribution, etc.</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3"/>
              </w:numPr>
              <w:spacing w:after="0" w:line="240" w:lineRule="auto"/>
              <w:rPr>
                <w:rFonts w:ascii="Times New Roman" w:hAnsi="Times New Roman" w:cs="Times New Roman"/>
              </w:rPr>
            </w:pPr>
            <w:r w:rsidRPr="00397435">
              <w:rPr>
                <w:rFonts w:ascii="Times New Roman" w:hAnsi="Times New Roman" w:cs="Times New Roman"/>
              </w:rPr>
              <w:t>Auditing and Reporting</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what periods of reporting (annual, quarterly, monthly, etc.) are most in line with business needs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fiscal year, keeping of accounts, reports to venturers and audit procedure</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3"/>
              </w:numPr>
              <w:spacing w:after="0" w:line="240" w:lineRule="auto"/>
              <w:rPr>
                <w:rFonts w:ascii="Times New Roman" w:hAnsi="Times New Roman" w:cs="Times New Roman"/>
              </w:rPr>
            </w:pPr>
            <w:r w:rsidRPr="00397435">
              <w:rPr>
                <w:rFonts w:ascii="Times New Roman" w:hAnsi="Times New Roman" w:cs="Times New Roman"/>
              </w:rPr>
              <w:t>Governing Law and Dispute Resolution</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exclusion of applicability of 1980 Vienna Convention on International Sale of Goods?</w:t>
            </w:r>
          </w:p>
          <w:p w:rsidR="00CB006C" w:rsidRPr="00397435" w:rsidRDefault="00CB006C" w:rsidP="00681737">
            <w:pPr>
              <w:rPr>
                <w:rFonts w:ascii="Times New Roman" w:hAnsi="Times New Roman" w:cs="Times New Roman"/>
                <w:sz w:val="22"/>
                <w:szCs w:val="22"/>
              </w:rPr>
            </w:pPr>
          </w:p>
          <w:p w:rsidR="00CB006C"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dispute forum (need not be jurisdiction of governing law):  litigation, arbitration, mediation?</w:t>
            </w:r>
          </w:p>
          <w:p w:rsidR="00CB006C"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Pr>
                <w:rFonts w:ascii="Times New Roman" w:hAnsi="Times New Roman" w:cs="Times New Roman"/>
                <w:sz w:val="22"/>
                <w:szCs w:val="22"/>
              </w:rPr>
              <w:t>Consider enforceability of litigation or arbitral award under New York and Panama Conventions and otherwise, not only in context of the forum, but the parties:  where do the parties operate and have assets?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dispute </w:t>
            </w:r>
            <w:r>
              <w:rPr>
                <w:rFonts w:ascii="Times New Roman" w:hAnsi="Times New Roman" w:cs="Times New Roman"/>
                <w:sz w:val="22"/>
                <w:szCs w:val="22"/>
              </w:rPr>
              <w:t>avoidance/</w:t>
            </w:r>
            <w:r w:rsidRPr="00397435">
              <w:rPr>
                <w:rFonts w:ascii="Times New Roman" w:hAnsi="Times New Roman" w:cs="Times New Roman"/>
                <w:sz w:val="22"/>
                <w:szCs w:val="22"/>
              </w:rPr>
              <w:t>escalation protocol</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3"/>
              </w:numPr>
              <w:spacing w:after="0" w:line="240" w:lineRule="auto"/>
              <w:rPr>
                <w:rFonts w:ascii="Times New Roman" w:hAnsi="Times New Roman" w:cs="Times New Roman"/>
              </w:rPr>
            </w:pPr>
            <w:r w:rsidRPr="00397435">
              <w:rPr>
                <w:rFonts w:ascii="Times New Roman" w:hAnsi="Times New Roman" w:cs="Times New Roman"/>
              </w:rPr>
              <w:t>Assignment</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rights to assign, to both affiliates and to arms-length third parties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any third party consents needs, including by passive financiers</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lastRenderedPageBreak/>
              <w:t>V.   Required Ancillary Documentation</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4"/>
              </w:numPr>
              <w:spacing w:after="0" w:line="240" w:lineRule="auto"/>
              <w:rPr>
                <w:rFonts w:ascii="Times New Roman" w:hAnsi="Times New Roman" w:cs="Times New Roman"/>
              </w:rPr>
            </w:pPr>
            <w:r w:rsidRPr="00397435">
              <w:rPr>
                <w:rFonts w:ascii="Times New Roman" w:hAnsi="Times New Roman" w:cs="Times New Roman"/>
              </w:rPr>
              <w:t>Investment Agreement</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a “Frame” Investment Agreement to which other investment terms will be annexed</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terms of initial investment of capital, assets, IP, and issuances of securities in JV</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procedure for additional “capital calls” during life of JV</w:t>
            </w:r>
          </w:p>
          <w:p w:rsidR="00CB006C" w:rsidRPr="00397435" w:rsidRDefault="00CB006C" w:rsidP="00681737">
            <w:pPr>
              <w:rPr>
                <w:rFonts w:ascii="Times New Roman" w:hAnsi="Times New Roman" w:cs="Times New Roman"/>
                <w:sz w:val="22"/>
                <w:szCs w:val="22"/>
              </w:rPr>
            </w:pPr>
          </w:p>
          <w:p w:rsidR="00CB006C"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distribution of capital, interest, dividends </w:t>
            </w:r>
            <w:r>
              <w:rPr>
                <w:rFonts w:ascii="Times New Roman" w:hAnsi="Times New Roman" w:cs="Times New Roman"/>
                <w:sz w:val="22"/>
                <w:szCs w:val="22"/>
              </w:rPr>
              <w:t xml:space="preserve">and royalties </w:t>
            </w:r>
            <w:r w:rsidRPr="00397435">
              <w:rPr>
                <w:rFonts w:ascii="Times New Roman" w:hAnsi="Times New Roman" w:cs="Times New Roman"/>
                <w:sz w:val="22"/>
                <w:szCs w:val="22"/>
              </w:rPr>
              <w:t>both during term and upon dissolution/termination</w:t>
            </w:r>
          </w:p>
          <w:p w:rsidR="00CB006C"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Pr>
                <w:rFonts w:ascii="Times New Roman" w:hAnsi="Times New Roman" w:cs="Times New Roman"/>
                <w:sz w:val="22"/>
                <w:szCs w:val="22"/>
              </w:rPr>
              <w:t xml:space="preserve">Consider tax implications of capital, interest, dividends and royalties, including foreign earnings repatriations, both during term and upon dissolution/termination </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4"/>
              </w:numPr>
              <w:spacing w:after="0" w:line="240" w:lineRule="auto"/>
              <w:rPr>
                <w:rFonts w:ascii="Times New Roman" w:hAnsi="Times New Roman" w:cs="Times New Roman"/>
              </w:rPr>
            </w:pPr>
            <w:r w:rsidRPr="00397435">
              <w:rPr>
                <w:rFonts w:ascii="Times New Roman" w:hAnsi="Times New Roman" w:cs="Times New Roman"/>
              </w:rPr>
              <w:t>Asset Sale and Assignment Agreements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Schedule assets to be conveyed  or assigned to JV by each</w:t>
            </w:r>
            <w:r>
              <w:rPr>
                <w:rFonts w:ascii="Times New Roman" w:hAnsi="Times New Roman" w:cs="Times New Roman"/>
                <w:sz w:val="22"/>
                <w:szCs w:val="22"/>
              </w:rPr>
              <w:t xml:space="preserve"> party</w:t>
            </w:r>
            <w:r w:rsidRPr="00397435">
              <w:rPr>
                <w:rFonts w:ascii="Times New Roman" w:hAnsi="Times New Roman" w:cs="Times New Roman"/>
                <w:sz w:val="22"/>
                <w:szCs w:val="22"/>
              </w:rPr>
              <w:t xml:space="preserve"> </w:t>
            </w:r>
            <w:r>
              <w:rPr>
                <w:rFonts w:ascii="Times New Roman" w:hAnsi="Times New Roman" w:cs="Times New Roman"/>
                <w:sz w:val="22"/>
                <w:szCs w:val="22"/>
              </w:rPr>
              <w:t xml:space="preserve">and each </w:t>
            </w:r>
            <w:r w:rsidRPr="00397435">
              <w:rPr>
                <w:rFonts w:ascii="Times New Roman" w:hAnsi="Times New Roman" w:cs="Times New Roman"/>
                <w:sz w:val="22"/>
                <w:szCs w:val="22"/>
              </w:rPr>
              <w:t>agreement</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4"/>
              </w:numPr>
              <w:spacing w:after="0" w:line="240" w:lineRule="auto"/>
              <w:rPr>
                <w:rFonts w:ascii="Times New Roman" w:hAnsi="Times New Roman" w:cs="Times New Roman"/>
              </w:rPr>
            </w:pPr>
            <w:r w:rsidRPr="00397435">
              <w:rPr>
                <w:rFonts w:ascii="Times New Roman" w:hAnsi="Times New Roman" w:cs="Times New Roman"/>
              </w:rPr>
              <w:t>License Agreements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Yes [ ] No</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terms of license for contributed IP or other intangible property</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how to deal with jointly-developed IP and other assets upon termination or dissolution of JV</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4"/>
              </w:numPr>
              <w:spacing w:after="0" w:line="240" w:lineRule="auto"/>
              <w:rPr>
                <w:rFonts w:ascii="Times New Roman" w:hAnsi="Times New Roman" w:cs="Times New Roman"/>
              </w:rPr>
            </w:pPr>
            <w:r w:rsidRPr="00397435">
              <w:rPr>
                <w:rFonts w:ascii="Times New Roman" w:hAnsi="Times New Roman" w:cs="Times New Roman"/>
              </w:rPr>
              <w:lastRenderedPageBreak/>
              <w:t>Contribution of Personnel</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Employment Agreements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Secondement Agreements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Other</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non-solicitation and non-competition provisions for employees working on JV</w:t>
            </w:r>
          </w:p>
          <w:p w:rsidR="00CB006C" w:rsidRPr="00397435" w:rsidRDefault="00CB006C" w:rsidP="00681737">
            <w:pPr>
              <w:rPr>
                <w:rFonts w:ascii="Times New Roman" w:hAnsi="Times New Roman" w:cs="Times New Roman"/>
                <w:sz w:val="22"/>
                <w:szCs w:val="22"/>
              </w:rPr>
            </w:pPr>
          </w:p>
          <w:p w:rsidR="00CB006C"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xml:space="preserve">Consider accounting and tax for employees working part time on JV, part time for </w:t>
            </w:r>
            <w:r>
              <w:rPr>
                <w:rFonts w:ascii="Times New Roman" w:hAnsi="Times New Roman" w:cs="Times New Roman"/>
                <w:sz w:val="22"/>
                <w:szCs w:val="22"/>
              </w:rPr>
              <w:t>venture parties.</w:t>
            </w:r>
          </w:p>
          <w:p w:rsidR="00CB006C"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Pr>
                <w:rFonts w:ascii="Times New Roman" w:hAnsi="Times New Roman" w:cs="Times New Roman"/>
                <w:sz w:val="22"/>
                <w:szCs w:val="22"/>
              </w:rPr>
              <w:t xml:space="preserve">Consider visa and business immigration requirements for seconded expatriate employees </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Key Terms &amp; Questions</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Transaction Specifics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Additional Considerations</w:t>
            </w:r>
          </w:p>
        </w:tc>
        <w:tc>
          <w:tcPr>
            <w:tcW w:w="1292"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Responsible Party</w:t>
            </w:r>
          </w:p>
        </w:tc>
        <w:tc>
          <w:tcPr>
            <w:tcW w:w="93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Due Date</w:t>
            </w: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4"/>
              </w:numPr>
              <w:spacing w:after="0" w:line="240" w:lineRule="auto"/>
              <w:rPr>
                <w:rFonts w:ascii="Times New Roman" w:hAnsi="Times New Roman" w:cs="Times New Roman"/>
              </w:rPr>
            </w:pPr>
            <w:r w:rsidRPr="00397435">
              <w:rPr>
                <w:rFonts w:ascii="Times New Roman" w:hAnsi="Times New Roman" w:cs="Times New Roman"/>
              </w:rPr>
              <w:t>Provision for Third Party Investment</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Provide for new investors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Separate Investment and Subscription Agreements</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provisions to bring in passive investment, rights of new investors to board representation, type of instruments and subscriptions, security, pledge and guarantee agreements, anti-dilution and liquidation preferences, if any</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sz w:val="22"/>
                <w:szCs w:val="22"/>
              </w:rPr>
            </w:pPr>
          </w:p>
        </w:tc>
        <w:tc>
          <w:tcPr>
            <w:tcW w:w="1749" w:type="dxa"/>
          </w:tcPr>
          <w:p w:rsidR="00CB006C" w:rsidRPr="00397435" w:rsidRDefault="00CB006C" w:rsidP="00681737">
            <w:pPr>
              <w:rPr>
                <w:rFonts w:ascii="Times New Roman" w:hAnsi="Times New Roman"/>
                <w:sz w:val="22"/>
                <w:szCs w:val="22"/>
              </w:rPr>
            </w:pPr>
          </w:p>
        </w:tc>
        <w:tc>
          <w:tcPr>
            <w:tcW w:w="2994" w:type="dxa"/>
          </w:tcPr>
          <w:p w:rsidR="00CB006C" w:rsidRPr="00397435" w:rsidRDefault="00CB006C" w:rsidP="00681737">
            <w:pPr>
              <w:rPr>
                <w:rFonts w:ascii="Times New Roman" w:hAnsi="Times New Roman"/>
                <w:sz w:val="22"/>
                <w:szCs w:val="22"/>
              </w:rPr>
            </w:pPr>
          </w:p>
        </w:tc>
        <w:tc>
          <w:tcPr>
            <w:tcW w:w="1292" w:type="dxa"/>
          </w:tcPr>
          <w:p w:rsidR="00CB006C" w:rsidRPr="00397435" w:rsidRDefault="00CB006C" w:rsidP="00681737">
            <w:pPr>
              <w:rPr>
                <w:rFonts w:ascii="Times New Roman" w:hAnsi="Times New Roman"/>
                <w:sz w:val="22"/>
                <w:szCs w:val="22"/>
              </w:rPr>
            </w:pPr>
          </w:p>
        </w:tc>
        <w:tc>
          <w:tcPr>
            <w:tcW w:w="934" w:type="dxa"/>
          </w:tcPr>
          <w:p w:rsidR="00CB006C" w:rsidRPr="00397435" w:rsidRDefault="00CB006C" w:rsidP="00681737">
            <w:pPr>
              <w:rPr>
                <w:rFonts w:ascii="Times New Roman" w:hAnsi="Times New Roman"/>
                <w:sz w:val="22"/>
                <w:szCs w:val="22"/>
              </w:rPr>
            </w:pPr>
          </w:p>
        </w:tc>
      </w:tr>
      <w:tr w:rsidR="00CB006C" w:rsidRPr="00397435" w:rsidTr="00681737">
        <w:tc>
          <w:tcPr>
            <w:tcW w:w="2689" w:type="dxa"/>
          </w:tcPr>
          <w:p w:rsidR="00CB006C" w:rsidRPr="00397435" w:rsidRDefault="00CB006C" w:rsidP="00681737">
            <w:pPr>
              <w:pStyle w:val="ListParagraph"/>
              <w:numPr>
                <w:ilvl w:val="0"/>
                <w:numId w:val="4"/>
              </w:numPr>
              <w:spacing w:after="0" w:line="240" w:lineRule="auto"/>
              <w:rPr>
                <w:rFonts w:ascii="Times New Roman" w:hAnsi="Times New Roman" w:cs="Times New Roman"/>
              </w:rPr>
            </w:pPr>
            <w:r w:rsidRPr="00397435">
              <w:rPr>
                <w:rFonts w:ascii="Times New Roman" w:hAnsi="Times New Roman" w:cs="Times New Roman"/>
              </w:rPr>
              <w:t>Buy-Sell  and Related Rights</w:t>
            </w: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rights of first refusal, rights of first offer, buy-sell, put and call, tag-along and drag-along rights</w:t>
            </w:r>
          </w:p>
          <w:p w:rsidR="00CB006C" w:rsidRPr="00397435" w:rsidRDefault="00CB006C" w:rsidP="00681737">
            <w:pPr>
              <w:rPr>
                <w:rFonts w:ascii="Times New Roman" w:hAnsi="Times New Roman" w:cs="Times New Roman"/>
                <w:sz w:val="22"/>
                <w:szCs w:val="22"/>
              </w:rPr>
            </w:pP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valuation procedures</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p>
        </w:tc>
        <w:tc>
          <w:tcPr>
            <w:tcW w:w="1749" w:type="dxa"/>
          </w:tcPr>
          <w:p w:rsidR="00CB006C" w:rsidRPr="00397435" w:rsidRDefault="00CB006C" w:rsidP="00681737">
            <w:pPr>
              <w:rPr>
                <w:rFonts w:ascii="Times New Roman" w:hAnsi="Times New Roman" w:cs="Times New Roman"/>
                <w:sz w:val="22"/>
                <w:szCs w:val="22"/>
              </w:rPr>
            </w:pPr>
          </w:p>
        </w:tc>
        <w:tc>
          <w:tcPr>
            <w:tcW w:w="2994" w:type="dxa"/>
          </w:tcPr>
          <w:p w:rsidR="00CB006C" w:rsidRPr="00397435" w:rsidRDefault="00CB006C" w:rsidP="00681737">
            <w:pPr>
              <w:rPr>
                <w:rFonts w:ascii="Times New Roman" w:hAnsi="Times New Roman" w:cs="Times New Roman"/>
                <w:sz w:val="22"/>
                <w:szCs w:val="22"/>
              </w:rPr>
            </w:pP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r w:rsidR="00CB006C" w:rsidRPr="00397435" w:rsidTr="00681737">
        <w:tc>
          <w:tcPr>
            <w:tcW w:w="268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VI.  Schedules Needed</w:t>
            </w:r>
          </w:p>
        </w:tc>
        <w:tc>
          <w:tcPr>
            <w:tcW w:w="1749"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Tangible Assets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Cash</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Securities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Personnel</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IP</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IP Licenses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Contracts</w:t>
            </w:r>
          </w:p>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 ] Goodwill</w:t>
            </w:r>
          </w:p>
        </w:tc>
        <w:tc>
          <w:tcPr>
            <w:tcW w:w="2994" w:type="dxa"/>
          </w:tcPr>
          <w:p w:rsidR="00CB006C" w:rsidRPr="00397435" w:rsidRDefault="00CB006C" w:rsidP="00681737">
            <w:pPr>
              <w:rPr>
                <w:rFonts w:ascii="Times New Roman" w:hAnsi="Times New Roman" w:cs="Times New Roman"/>
                <w:sz w:val="22"/>
                <w:szCs w:val="22"/>
              </w:rPr>
            </w:pPr>
            <w:r w:rsidRPr="00397435">
              <w:rPr>
                <w:rFonts w:ascii="Times New Roman" w:hAnsi="Times New Roman" w:cs="Times New Roman"/>
                <w:sz w:val="22"/>
                <w:szCs w:val="22"/>
              </w:rPr>
              <w:t>Consider whether licenses, employment agreements, investment agreements, services agreements, subscriptions should be scheduled or annexed to the JV Agreement</w:t>
            </w:r>
          </w:p>
        </w:tc>
        <w:tc>
          <w:tcPr>
            <w:tcW w:w="1292" w:type="dxa"/>
          </w:tcPr>
          <w:p w:rsidR="00CB006C" w:rsidRPr="00397435" w:rsidRDefault="00CB006C" w:rsidP="00681737">
            <w:pPr>
              <w:rPr>
                <w:rFonts w:ascii="Times New Roman" w:hAnsi="Times New Roman" w:cs="Times New Roman"/>
                <w:sz w:val="22"/>
                <w:szCs w:val="22"/>
              </w:rPr>
            </w:pPr>
          </w:p>
        </w:tc>
        <w:tc>
          <w:tcPr>
            <w:tcW w:w="934" w:type="dxa"/>
          </w:tcPr>
          <w:p w:rsidR="00CB006C" w:rsidRPr="00397435" w:rsidRDefault="00CB006C" w:rsidP="00681737">
            <w:pPr>
              <w:rPr>
                <w:rFonts w:ascii="Times New Roman" w:hAnsi="Times New Roman" w:cs="Times New Roman"/>
                <w:sz w:val="22"/>
                <w:szCs w:val="22"/>
              </w:rPr>
            </w:pPr>
          </w:p>
        </w:tc>
      </w:tr>
    </w:tbl>
    <w:p w:rsidR="00CB006C" w:rsidRDefault="00CB006C" w:rsidP="00CB006C">
      <w:pPr>
        <w:rPr>
          <w:rFonts w:ascii="Times New Roman" w:hAnsi="Times New Roman"/>
          <w:sz w:val="24"/>
        </w:rPr>
      </w:pPr>
    </w:p>
    <w:p w:rsidR="00252431" w:rsidRDefault="00252431" w:rsidP="00CB006C">
      <w:pPr>
        <w:rPr>
          <w:rFonts w:ascii="Times New Roman" w:hAnsi="Times New Roman"/>
          <w:sz w:val="24"/>
        </w:rPr>
      </w:pPr>
    </w:p>
    <w:p w:rsidR="00252431" w:rsidRDefault="00252431" w:rsidP="00CB006C">
      <w:pPr>
        <w:rPr>
          <w:rFonts w:ascii="Times New Roman" w:hAnsi="Times New Roman"/>
          <w:sz w:val="24"/>
        </w:rPr>
      </w:pPr>
    </w:p>
    <w:p w:rsidR="00252431" w:rsidRPr="004E073D" w:rsidRDefault="00252431" w:rsidP="00CB006C">
      <w:pPr>
        <w:rPr>
          <w:rFonts w:ascii="Times New Roman" w:hAnsi="Times New Roman"/>
          <w:sz w:val="24"/>
        </w:rPr>
      </w:pPr>
    </w:p>
    <w:p w:rsidR="00CB006C" w:rsidRDefault="00CB006C" w:rsidP="00CB006C">
      <w:pPr>
        <w:pStyle w:val="ListParagraph"/>
        <w:widowControl w:val="0"/>
        <w:numPr>
          <w:ilvl w:val="0"/>
          <w:numId w:val="7"/>
        </w:numPr>
        <w:tabs>
          <w:tab w:val="left" w:pos="220"/>
          <w:tab w:val="left" w:pos="720"/>
        </w:tabs>
        <w:autoSpaceDE w:val="0"/>
        <w:autoSpaceDN w:val="0"/>
        <w:adjustRightInd w:val="0"/>
        <w:rPr>
          <w:rFonts w:ascii="Times New Roman" w:hAnsi="Times New Roman"/>
          <w:sz w:val="24"/>
          <w:szCs w:val="24"/>
        </w:rPr>
      </w:pPr>
      <w:r w:rsidRPr="004E073D">
        <w:rPr>
          <w:rFonts w:ascii="Times New Roman" w:hAnsi="Times New Roman"/>
          <w:sz w:val="24"/>
          <w:szCs w:val="24"/>
        </w:rPr>
        <w:lastRenderedPageBreak/>
        <w:t>Deal Points.</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4E073D">
        <w:rPr>
          <w:rFonts w:ascii="Times New Roman" w:eastAsiaTheme="minorHAnsi" w:hAnsi="Times New Roman" w:cstheme="minorBidi"/>
          <w:b/>
          <w:i/>
          <w:sz w:val="24"/>
        </w:rPr>
        <w:t>Deal Point No. 1:  JV Formation.</w:t>
      </w:r>
      <w:r>
        <w:rPr>
          <w:rFonts w:ascii="Times New Roman" w:eastAsiaTheme="minorHAnsi" w:hAnsi="Times New Roman" w:cstheme="minorBidi"/>
          <w:sz w:val="24"/>
        </w:rPr>
        <w:t xml:space="preserve">  </w:t>
      </w:r>
      <w:r w:rsidRPr="004E073D">
        <w:rPr>
          <w:rFonts w:ascii="Times New Roman" w:hAnsi="Times New Roman"/>
          <w:color w:val="3C3E40"/>
          <w:sz w:val="24"/>
        </w:rPr>
        <w:t xml:space="preserve">Parties can enter into a </w:t>
      </w:r>
      <w:r>
        <w:rPr>
          <w:rFonts w:ascii="Times New Roman" w:hAnsi="Times New Roman"/>
          <w:color w:val="3C3E40"/>
          <w:sz w:val="24"/>
        </w:rPr>
        <w:t>JV</w:t>
      </w:r>
      <w:r w:rsidRPr="004E073D">
        <w:rPr>
          <w:rFonts w:ascii="Times New Roman" w:hAnsi="Times New Roman"/>
          <w:color w:val="3C3E40"/>
          <w:sz w:val="24"/>
        </w:rPr>
        <w:t xml:space="preserve"> simply by means of a contract to collaborate in business for a common purpose and profit. However, </w:t>
      </w:r>
      <w:r>
        <w:rPr>
          <w:rFonts w:ascii="Times New Roman" w:hAnsi="Times New Roman"/>
          <w:color w:val="3C3E40"/>
          <w:sz w:val="24"/>
        </w:rPr>
        <w:t>JV</w:t>
      </w:r>
      <w:r w:rsidRPr="004E073D">
        <w:rPr>
          <w:rFonts w:ascii="Times New Roman" w:hAnsi="Times New Roman"/>
          <w:color w:val="3C3E40"/>
          <w:sz w:val="24"/>
        </w:rPr>
        <w:t xml:space="preserve">s may also be embodied in a legal entity such as a corporation, partnership, limited partnership or LLC, with the joint venturers taking debt or equity (or mixed) positions in the </w:t>
      </w:r>
      <w:r>
        <w:rPr>
          <w:rFonts w:ascii="Times New Roman" w:hAnsi="Times New Roman"/>
          <w:color w:val="3C3E40"/>
          <w:sz w:val="24"/>
        </w:rPr>
        <w:t>JV</w:t>
      </w:r>
      <w:r w:rsidRPr="004E073D">
        <w:rPr>
          <w:rFonts w:ascii="Times New Roman" w:hAnsi="Times New Roman"/>
          <w:color w:val="3C3E40"/>
          <w:sz w:val="24"/>
        </w:rPr>
        <w:t>. Most typically in the United States, the joint venture is embodied in a limited partnership or LLC, because those forms grant the joint venturers limited liability protection</w:t>
      </w:r>
      <w:r>
        <w:rPr>
          <w:rFonts w:ascii="Times New Roman" w:hAnsi="Times New Roman"/>
          <w:color w:val="3C3E40"/>
          <w:sz w:val="24"/>
        </w:rPr>
        <w:t xml:space="preserve"> </w:t>
      </w:r>
      <w:r w:rsidRPr="004E073D">
        <w:rPr>
          <w:rFonts w:ascii="Times New Roman" w:hAnsi="Times New Roman"/>
          <w:color w:val="3C3E40"/>
          <w:sz w:val="24"/>
        </w:rPr>
        <w:t>like corporations, but, under U.S. Internal Revenue Code “check-the-box” rules, also automatically provide for “pass-through” taxation like partnerships, without imposing corporate level tax or stranding profits or losses at the corporate level.</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bCs/>
          <w:i/>
          <w:color w:val="3C3E40"/>
          <w:sz w:val="24"/>
        </w:rPr>
        <w:t>Deal Point No. 2:  Foreign Ownership Restrictions</w:t>
      </w:r>
      <w:r>
        <w:rPr>
          <w:rFonts w:ascii="Times New Roman" w:hAnsi="Times New Roman"/>
          <w:b/>
          <w:bCs/>
          <w:i/>
          <w:color w:val="3C3E40"/>
          <w:sz w:val="24"/>
        </w:rPr>
        <w:t>.</w:t>
      </w:r>
      <w:r w:rsidRPr="004E073D">
        <w:rPr>
          <w:rFonts w:ascii="Times New Roman" w:hAnsi="Times New Roman"/>
          <w:color w:val="3C3E40"/>
          <w:sz w:val="24"/>
        </w:rPr>
        <w:t xml:space="preserve">  In the cross-border venture context, foreign ownership restrictions in regulated industries like defense and aerospace, communications and pharmaceuticals can play a significant role in venture structure. More importantly, in some instances a </w:t>
      </w:r>
      <w:r>
        <w:rPr>
          <w:rFonts w:ascii="Times New Roman" w:hAnsi="Times New Roman"/>
          <w:color w:val="3C3E40"/>
          <w:sz w:val="24"/>
        </w:rPr>
        <w:t>JV</w:t>
      </w:r>
      <w:r w:rsidRPr="004E073D">
        <w:rPr>
          <w:rFonts w:ascii="Times New Roman" w:hAnsi="Times New Roman"/>
          <w:color w:val="3C3E40"/>
          <w:sz w:val="24"/>
        </w:rPr>
        <w:t xml:space="preserve"> can offer new ownership and control opportunities, or a means of avoiding a regulatory burden that would necessarily fall on a single entity. In this way, </w:t>
      </w:r>
      <w:r>
        <w:rPr>
          <w:rFonts w:ascii="Times New Roman" w:hAnsi="Times New Roman"/>
          <w:color w:val="3C3E40"/>
          <w:sz w:val="24"/>
        </w:rPr>
        <w:t>JV</w:t>
      </w:r>
      <w:r w:rsidRPr="004E073D">
        <w:rPr>
          <w:rFonts w:ascii="Times New Roman" w:hAnsi="Times New Roman"/>
          <w:color w:val="3C3E40"/>
          <w:sz w:val="24"/>
        </w:rPr>
        <w:t xml:space="preserve"> structures can actually create strategic options and alternatives that would not otherwise exist.</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bCs/>
          <w:i/>
          <w:color w:val="3C3E40"/>
          <w:sz w:val="24"/>
        </w:rPr>
        <w:t>Deal Point No. 3:  Structuring Around Foreign Ownership Restrictions I</w:t>
      </w:r>
      <w:r>
        <w:rPr>
          <w:rFonts w:ascii="Times New Roman" w:hAnsi="Times New Roman"/>
          <w:b/>
          <w:bCs/>
          <w:i/>
          <w:color w:val="3C3E40"/>
          <w:sz w:val="24"/>
        </w:rPr>
        <w:t>.</w:t>
      </w:r>
      <w:r w:rsidRPr="004E073D">
        <w:rPr>
          <w:rFonts w:ascii="Times New Roman" w:hAnsi="Times New Roman"/>
          <w:color w:val="3C3E40"/>
          <w:sz w:val="24"/>
        </w:rPr>
        <w:t xml:space="preserve">  </w:t>
      </w:r>
      <w:r>
        <w:rPr>
          <w:rFonts w:ascii="Times New Roman" w:hAnsi="Times New Roman"/>
          <w:color w:val="3C3E40"/>
          <w:sz w:val="24"/>
        </w:rPr>
        <w:t>S</w:t>
      </w:r>
      <w:r w:rsidRPr="004E073D">
        <w:rPr>
          <w:rFonts w:ascii="Times New Roman" w:hAnsi="Times New Roman"/>
          <w:color w:val="3C3E40"/>
          <w:sz w:val="24"/>
        </w:rPr>
        <w:t xml:space="preserve">ome U.S. regulations pertaining to specific industries prohibit non-U.S.-domiciled entities from holding certain licenses. In addition, U.S. corporations or other business entities may not hold such licenses if more a certain percentage of their voting equity is owned or controlled by non-U.S. entities (with similar restrictions going up the ownership chain).  However, the use of convertible debt under some circumstances does not activate the regulatory restrictions (although it may activate equity-plus-debt “attribution rules” relating to other ownership prohibitions and reporting rules) and can therefore be a useful vehicle to attract non-U.S. investors. For these reasons, a non-U.S. investor desiring a 30% equity interest in a licensee might (for example) take 20% of its interest in the form of equity, and the other 10% in the form of a convertible debt instrument.  In this way, the non-U.S. investor would own no more than 20% of the joint venture’s equity while maintaining the 30% interest on an “as converted” basis to which it would be entitled based on its capital contribution. The joint venture vehicle </w:t>
      </w:r>
      <w:r>
        <w:rPr>
          <w:rFonts w:ascii="Times New Roman" w:hAnsi="Times New Roman"/>
          <w:color w:val="3C3E40"/>
          <w:sz w:val="24"/>
        </w:rPr>
        <w:t>might</w:t>
      </w:r>
      <w:r w:rsidRPr="004E073D">
        <w:rPr>
          <w:rFonts w:ascii="Times New Roman" w:hAnsi="Times New Roman"/>
          <w:color w:val="3C3E40"/>
          <w:sz w:val="24"/>
        </w:rPr>
        <w:t xml:space="preserve"> in these circumstances qualify for the U.S. license. Moreover, the parties could enhance the flexibility of this arrangement by varying the circumstances under which th</w:t>
      </w:r>
      <w:r>
        <w:rPr>
          <w:rFonts w:ascii="Times New Roman" w:hAnsi="Times New Roman"/>
          <w:color w:val="3C3E40"/>
          <w:sz w:val="24"/>
        </w:rPr>
        <w:t xml:space="preserve">e debt was convertible, and the </w:t>
      </w:r>
      <w:r w:rsidRPr="004E073D">
        <w:rPr>
          <w:rFonts w:ascii="Times New Roman" w:hAnsi="Times New Roman"/>
          <w:color w:val="3C3E40"/>
          <w:sz w:val="24"/>
        </w:rPr>
        <w:t>valuation of equity at the time of conversion (for example, to alter the equity percentage on the achievement of revenue</w:t>
      </w:r>
      <w:r>
        <w:rPr>
          <w:rFonts w:ascii="Times New Roman" w:hAnsi="Times New Roman"/>
          <w:color w:val="3C3E40"/>
          <w:sz w:val="24"/>
        </w:rPr>
        <w:t>, profit</w:t>
      </w:r>
      <w:r w:rsidRPr="004E073D">
        <w:rPr>
          <w:rFonts w:ascii="Times New Roman" w:hAnsi="Times New Roman"/>
          <w:color w:val="3C3E40"/>
          <w:sz w:val="24"/>
        </w:rPr>
        <w:t xml:space="preserve"> or development milestones).</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bCs/>
          <w:i/>
          <w:color w:val="3C3E40"/>
          <w:sz w:val="24"/>
        </w:rPr>
        <w:t>Deal Point No. 4:  Structuring Around Foreign Ownership Restrictions II</w:t>
      </w:r>
      <w:r>
        <w:rPr>
          <w:rFonts w:ascii="Times New Roman" w:hAnsi="Times New Roman"/>
          <w:b/>
          <w:bCs/>
          <w:i/>
          <w:color w:val="3C3E40"/>
          <w:sz w:val="24"/>
        </w:rPr>
        <w:t>.</w:t>
      </w:r>
      <w:r w:rsidRPr="004E073D">
        <w:rPr>
          <w:rFonts w:ascii="Times New Roman" w:hAnsi="Times New Roman"/>
          <w:color w:val="3C3E40"/>
          <w:sz w:val="24"/>
        </w:rPr>
        <w:t xml:space="preserve">  Regulatory scrutiny can also sometimes be avoided by having U.S.-domiciled “Special Purpose Vehicles” (“SPVs”) hold a restricted license and have different proportional ownership in another </w:t>
      </w:r>
      <w:r>
        <w:rPr>
          <w:rFonts w:ascii="Times New Roman" w:hAnsi="Times New Roman"/>
          <w:color w:val="3C3E40"/>
          <w:sz w:val="24"/>
        </w:rPr>
        <w:t>JV</w:t>
      </w:r>
      <w:r w:rsidRPr="004E073D">
        <w:rPr>
          <w:rFonts w:ascii="Times New Roman" w:hAnsi="Times New Roman"/>
          <w:color w:val="3C3E40"/>
          <w:sz w:val="24"/>
        </w:rPr>
        <w:t xml:space="preserve"> vehicle (U.S. or non-U.S.) that holds non-restricted assets. In such a case, the license-holding and other asset-holding entities might be jointly owned by a holding company or “blocking” entity that was in turn owned by the venturers. In such a structure, super-majority voting provisions at the holding/SPV and operating company levels can limit majority votes to routine matters, while giving both the venturers shared control</w:t>
      </w:r>
      <w:r>
        <w:rPr>
          <w:rFonts w:ascii="Times New Roman" w:hAnsi="Times New Roman"/>
          <w:color w:val="3C3E40"/>
          <w:sz w:val="24"/>
        </w:rPr>
        <w:t>, or a minority veto right,</w:t>
      </w:r>
      <w:r w:rsidRPr="004E073D">
        <w:rPr>
          <w:rFonts w:ascii="Times New Roman" w:hAnsi="Times New Roman"/>
          <w:color w:val="3C3E40"/>
          <w:sz w:val="24"/>
        </w:rPr>
        <w:t xml:space="preserve"> over extraordinary events such as acquisitions and divestitures, mergers, debt incurrence, raising capital, business plan adoption and liquidation. Through combinations of these mechanisms, investors contributing a majority of the venture’s capital or assets </w:t>
      </w:r>
      <w:r w:rsidRPr="004E073D">
        <w:rPr>
          <w:rFonts w:ascii="Times New Roman" w:hAnsi="Times New Roman"/>
          <w:color w:val="3C3E40"/>
          <w:sz w:val="24"/>
        </w:rPr>
        <w:lastRenderedPageBreak/>
        <w:t>can maintain effective control consistent with their expectations while technically being relegated to minority positions required for regulatory reasons.  Additionally, the investors' own local tax or regulatory interests may be served by this type of structuring.</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i/>
          <w:color w:val="3C3E40"/>
          <w:sz w:val="24"/>
        </w:rPr>
        <w:t xml:space="preserve">Deal Point No. 5:  </w:t>
      </w:r>
      <w:r w:rsidRPr="00CF78C6">
        <w:rPr>
          <w:rFonts w:ascii="Times New Roman" w:hAnsi="Times New Roman"/>
          <w:b/>
          <w:bCs/>
          <w:i/>
          <w:color w:val="3C3E40"/>
          <w:sz w:val="24"/>
        </w:rPr>
        <w:t>Investment Issues.</w:t>
      </w:r>
      <w:r w:rsidRPr="004E073D">
        <w:rPr>
          <w:rFonts w:ascii="Times New Roman" w:hAnsi="Times New Roman"/>
          <w:b/>
          <w:bCs/>
          <w:color w:val="3C3E40"/>
          <w:sz w:val="24"/>
        </w:rPr>
        <w:t xml:space="preserve">  </w:t>
      </w:r>
      <w:r w:rsidRPr="004E073D">
        <w:rPr>
          <w:rFonts w:ascii="Times New Roman" w:hAnsi="Times New Roman"/>
          <w:color w:val="3C3E40"/>
          <w:sz w:val="24"/>
        </w:rPr>
        <w:t xml:space="preserve">If one or both joint venturers are contributing capital to the </w:t>
      </w:r>
      <w:r>
        <w:rPr>
          <w:rFonts w:ascii="Times New Roman" w:hAnsi="Times New Roman"/>
          <w:color w:val="3C3E40"/>
          <w:sz w:val="24"/>
        </w:rPr>
        <w:t>JV</w:t>
      </w:r>
      <w:r w:rsidRPr="004E073D">
        <w:rPr>
          <w:rFonts w:ascii="Times New Roman" w:hAnsi="Times New Roman"/>
          <w:color w:val="3C3E40"/>
          <w:sz w:val="24"/>
        </w:rPr>
        <w:t xml:space="preserve">, the terms of investment </w:t>
      </w:r>
      <w:r>
        <w:rPr>
          <w:rFonts w:ascii="Times New Roman" w:hAnsi="Times New Roman"/>
          <w:color w:val="3C3E40"/>
          <w:sz w:val="24"/>
        </w:rPr>
        <w:t xml:space="preserve">may </w:t>
      </w:r>
      <w:r w:rsidRPr="004E073D">
        <w:rPr>
          <w:rFonts w:ascii="Times New Roman" w:hAnsi="Times New Roman"/>
          <w:color w:val="3C3E40"/>
          <w:sz w:val="24"/>
        </w:rPr>
        <w:t xml:space="preserve">have to be incorporated into the venture through an investment agreement ancillary to the main </w:t>
      </w:r>
      <w:r>
        <w:rPr>
          <w:rFonts w:ascii="Times New Roman" w:hAnsi="Times New Roman"/>
          <w:color w:val="3C3E40"/>
          <w:sz w:val="24"/>
        </w:rPr>
        <w:t>JV</w:t>
      </w:r>
      <w:r w:rsidRPr="004E073D">
        <w:rPr>
          <w:rFonts w:ascii="Times New Roman" w:hAnsi="Times New Roman"/>
          <w:color w:val="3C3E40"/>
          <w:sz w:val="24"/>
        </w:rPr>
        <w:t xml:space="preserve"> document. Typically, a party contributing cash will expect repayment, dilution protection and liquidation preferences much like those expected by a venture capitalist, and possibly enhanced board representation and governance rights, such as veto over extraordinary events.  </w:t>
      </w:r>
      <w:r>
        <w:rPr>
          <w:rFonts w:ascii="Times New Roman" w:hAnsi="Times New Roman"/>
          <w:color w:val="3C3E40"/>
          <w:sz w:val="24"/>
        </w:rPr>
        <w:t>Preferential r</w:t>
      </w:r>
      <w:r w:rsidRPr="004E073D">
        <w:rPr>
          <w:rFonts w:ascii="Times New Roman" w:hAnsi="Times New Roman"/>
          <w:color w:val="3C3E40"/>
          <w:sz w:val="24"/>
        </w:rPr>
        <w:t xml:space="preserve">ights to return of capital in event of termination of the </w:t>
      </w:r>
      <w:r>
        <w:rPr>
          <w:rFonts w:ascii="Times New Roman" w:hAnsi="Times New Roman"/>
          <w:color w:val="3C3E40"/>
          <w:sz w:val="24"/>
        </w:rPr>
        <w:t>JV</w:t>
      </w:r>
      <w:r w:rsidRPr="004E073D">
        <w:rPr>
          <w:rFonts w:ascii="Times New Roman" w:hAnsi="Times New Roman"/>
          <w:color w:val="3C3E40"/>
          <w:sz w:val="24"/>
        </w:rPr>
        <w:t xml:space="preserve">, events giving rise to a right of termination and how termination rights are exercised may be incorporated into an investment agreement, when one is part of a </w:t>
      </w:r>
      <w:r>
        <w:rPr>
          <w:rFonts w:ascii="Times New Roman" w:hAnsi="Times New Roman"/>
          <w:color w:val="3C3E40"/>
          <w:sz w:val="24"/>
        </w:rPr>
        <w:t>JV</w:t>
      </w:r>
      <w:r w:rsidRPr="004E073D">
        <w:rPr>
          <w:rFonts w:ascii="Times New Roman" w:hAnsi="Times New Roman"/>
          <w:color w:val="3C3E40"/>
          <w:sz w:val="24"/>
        </w:rPr>
        <w:t>.  Super-majority</w:t>
      </w:r>
      <w:r>
        <w:rPr>
          <w:rFonts w:ascii="Times New Roman" w:hAnsi="Times New Roman"/>
          <w:color w:val="3C3E40"/>
          <w:sz w:val="24"/>
        </w:rPr>
        <w:t xml:space="preserve"> and veto</w:t>
      </w:r>
      <w:r w:rsidRPr="004E073D">
        <w:rPr>
          <w:rFonts w:ascii="Times New Roman" w:hAnsi="Times New Roman"/>
          <w:color w:val="3C3E40"/>
          <w:sz w:val="24"/>
        </w:rPr>
        <w:t xml:space="preserve"> voting rights can also be incorporated into an investment agreement.</w:t>
      </w:r>
      <w:r>
        <w:rPr>
          <w:rFonts w:ascii="Times New Roman" w:hAnsi="Times New Roman"/>
          <w:color w:val="3C3E40"/>
          <w:sz w:val="24"/>
        </w:rPr>
        <w:t xml:space="preserve">  Alternatively, these rights can be incorporated into the principal JV agreement, be it a shareholders’ agreement, limited partnership agreement, LLC operating agreement or otherwise.</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bCs/>
          <w:i/>
          <w:color w:val="3C3E40"/>
          <w:sz w:val="24"/>
        </w:rPr>
        <w:t>Deal Point No. 6:  Governance Issues.</w:t>
      </w:r>
      <w:r w:rsidRPr="004E073D">
        <w:rPr>
          <w:rFonts w:ascii="Times New Roman" w:hAnsi="Times New Roman"/>
          <w:b/>
          <w:bCs/>
          <w:color w:val="3C3E40"/>
          <w:sz w:val="24"/>
        </w:rPr>
        <w:t xml:space="preserve">  </w:t>
      </w:r>
      <w:r w:rsidRPr="004E073D">
        <w:rPr>
          <w:rFonts w:ascii="Times New Roman" w:hAnsi="Times New Roman"/>
          <w:color w:val="3C3E40"/>
          <w:sz w:val="24"/>
        </w:rPr>
        <w:t xml:space="preserve">As noted, </w:t>
      </w:r>
      <w:r>
        <w:rPr>
          <w:rFonts w:ascii="Times New Roman" w:hAnsi="Times New Roman"/>
          <w:color w:val="3C3E40"/>
          <w:sz w:val="24"/>
        </w:rPr>
        <w:t>JV</w:t>
      </w:r>
      <w:r w:rsidRPr="004E073D">
        <w:rPr>
          <w:rFonts w:ascii="Times New Roman" w:hAnsi="Times New Roman"/>
          <w:color w:val="3C3E40"/>
          <w:sz w:val="24"/>
        </w:rPr>
        <w:t xml:space="preserve"> structures can allow for more governance flexibility than acquisition structures typically do. This is especially valuable if the kinds of local regulatory requirements discussed above require management, ownership or governance structures different from what the simple economic interests may yield. Grants in charter documents for the </w:t>
      </w:r>
      <w:r>
        <w:rPr>
          <w:rFonts w:ascii="Times New Roman" w:hAnsi="Times New Roman"/>
          <w:color w:val="3C3E40"/>
          <w:sz w:val="24"/>
        </w:rPr>
        <w:t>JV</w:t>
      </w:r>
      <w:r w:rsidRPr="004E073D">
        <w:rPr>
          <w:rFonts w:ascii="Times New Roman" w:hAnsi="Times New Roman"/>
          <w:color w:val="3C3E40"/>
          <w:sz w:val="24"/>
        </w:rPr>
        <w:t xml:space="preserve"> vehicle, investment agreement or voting rights agreements of super-majority or veto rights over specified matters, especially those with regulatory sensitivity; isolation of certain governance matters in SPVs holding licenses or other government rights domiciled elsewhere than in the main </w:t>
      </w:r>
      <w:r>
        <w:rPr>
          <w:rFonts w:ascii="Times New Roman" w:hAnsi="Times New Roman"/>
          <w:color w:val="3C3E40"/>
          <w:sz w:val="24"/>
        </w:rPr>
        <w:t>JV</w:t>
      </w:r>
      <w:r w:rsidRPr="004E073D">
        <w:rPr>
          <w:rFonts w:ascii="Times New Roman" w:hAnsi="Times New Roman"/>
          <w:color w:val="3C3E40"/>
          <w:sz w:val="24"/>
        </w:rPr>
        <w:t xml:space="preserve"> vehicle and Board representation, committee membership and other rights negotiated at the time of formation, including with rotation over time and upon the occurrence of specified events, can satisfy highly customized needs of the venturers.  Frequently, where the </w:t>
      </w:r>
      <w:r>
        <w:rPr>
          <w:rFonts w:ascii="Times New Roman" w:hAnsi="Times New Roman"/>
          <w:color w:val="3C3E40"/>
          <w:sz w:val="24"/>
        </w:rPr>
        <w:t>JV</w:t>
      </w:r>
      <w:r w:rsidRPr="004E073D">
        <w:rPr>
          <w:rFonts w:ascii="Times New Roman" w:hAnsi="Times New Roman"/>
          <w:color w:val="3C3E40"/>
          <w:sz w:val="24"/>
        </w:rPr>
        <w:t xml:space="preserve"> vehicle is a limited partnership, the general partner</w:t>
      </w:r>
      <w:r>
        <w:rPr>
          <w:rFonts w:ascii="Times New Roman" w:hAnsi="Times New Roman"/>
          <w:color w:val="3C3E40"/>
          <w:sz w:val="24"/>
        </w:rPr>
        <w:t xml:space="preserve"> </w:t>
      </w:r>
      <w:r w:rsidRPr="004E073D">
        <w:rPr>
          <w:rFonts w:ascii="Times New Roman" w:hAnsi="Times New Roman"/>
          <w:color w:val="3C3E40"/>
          <w:sz w:val="24"/>
        </w:rPr>
        <w:t xml:space="preserve">will be another business entity whose representation, voting rights and other powers must be negotiated by the venturers.  If the joint venture vehicle were an LLC, the equivalent of a "general partner" would typically be a "managing member," whose attributes would be negotiated just </w:t>
      </w:r>
      <w:r>
        <w:rPr>
          <w:rFonts w:ascii="Times New Roman" w:hAnsi="Times New Roman"/>
          <w:color w:val="3C3E40"/>
          <w:sz w:val="24"/>
        </w:rPr>
        <w:t>as</w:t>
      </w:r>
      <w:r w:rsidRPr="004E073D">
        <w:rPr>
          <w:rFonts w:ascii="Times New Roman" w:hAnsi="Times New Roman"/>
          <w:color w:val="3C3E40"/>
          <w:sz w:val="24"/>
        </w:rPr>
        <w:t xml:space="preserve"> a general partner's would be.</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bCs/>
          <w:i/>
          <w:color w:val="3C3E40"/>
          <w:sz w:val="24"/>
        </w:rPr>
        <w:t xml:space="preserve">Deal Point No. </w:t>
      </w:r>
      <w:r>
        <w:rPr>
          <w:rFonts w:ascii="Times New Roman" w:hAnsi="Times New Roman"/>
          <w:b/>
          <w:bCs/>
          <w:i/>
          <w:color w:val="3C3E40"/>
          <w:sz w:val="24"/>
        </w:rPr>
        <w:t>7</w:t>
      </w:r>
      <w:r w:rsidRPr="00CF78C6">
        <w:rPr>
          <w:rFonts w:ascii="Times New Roman" w:hAnsi="Times New Roman"/>
          <w:b/>
          <w:bCs/>
          <w:i/>
          <w:color w:val="3C3E40"/>
          <w:sz w:val="24"/>
        </w:rPr>
        <w:t>:  Contribution of Intellectual Property and Other Assets.</w:t>
      </w:r>
      <w:r w:rsidRPr="004E073D">
        <w:rPr>
          <w:rFonts w:ascii="Times New Roman" w:hAnsi="Times New Roman"/>
          <w:b/>
          <w:bCs/>
          <w:color w:val="3C3E40"/>
          <w:sz w:val="24"/>
        </w:rPr>
        <w:t xml:space="preserve"> </w:t>
      </w:r>
      <w:r>
        <w:rPr>
          <w:rFonts w:ascii="Times New Roman" w:hAnsi="Times New Roman"/>
          <w:b/>
          <w:bCs/>
          <w:color w:val="3C3E40"/>
          <w:sz w:val="24"/>
        </w:rPr>
        <w:t xml:space="preserve"> </w:t>
      </w:r>
      <w:r w:rsidRPr="004E073D">
        <w:rPr>
          <w:rFonts w:ascii="Times New Roman" w:hAnsi="Times New Roman"/>
          <w:color w:val="3C3E40"/>
          <w:sz w:val="24"/>
        </w:rPr>
        <w:t xml:space="preserve">If </w:t>
      </w:r>
      <w:r>
        <w:rPr>
          <w:rFonts w:ascii="Times New Roman" w:hAnsi="Times New Roman"/>
          <w:color w:val="3C3E40"/>
          <w:sz w:val="24"/>
        </w:rPr>
        <w:t>IP</w:t>
      </w:r>
      <w:r w:rsidRPr="004E073D">
        <w:rPr>
          <w:rFonts w:ascii="Times New Roman" w:hAnsi="Times New Roman"/>
          <w:color w:val="3C3E40"/>
          <w:sz w:val="24"/>
        </w:rPr>
        <w:t xml:space="preserve"> forms a significant portion of a party’s contribution to the </w:t>
      </w:r>
      <w:r>
        <w:rPr>
          <w:rFonts w:ascii="Times New Roman" w:hAnsi="Times New Roman"/>
          <w:color w:val="3C3E40"/>
          <w:sz w:val="24"/>
        </w:rPr>
        <w:t>JV</w:t>
      </w:r>
      <w:r w:rsidRPr="004E073D">
        <w:rPr>
          <w:rFonts w:ascii="Times New Roman" w:hAnsi="Times New Roman"/>
          <w:color w:val="3C3E40"/>
          <w:sz w:val="24"/>
        </w:rPr>
        <w:t xml:space="preserve">, a license to use the </w:t>
      </w:r>
      <w:r>
        <w:rPr>
          <w:rFonts w:ascii="Times New Roman" w:hAnsi="Times New Roman"/>
          <w:color w:val="3C3E40"/>
          <w:sz w:val="24"/>
        </w:rPr>
        <w:t>IP</w:t>
      </w:r>
      <w:r w:rsidRPr="004E073D">
        <w:rPr>
          <w:rFonts w:ascii="Times New Roman" w:hAnsi="Times New Roman"/>
          <w:color w:val="3C3E40"/>
          <w:sz w:val="24"/>
        </w:rPr>
        <w:t xml:space="preserve"> during the joint venture will probably be a necessary part of the documentation. The scope, exclusivity, duration and other attributes of the license should be carefully negotiated; typically, the party contributing the </w:t>
      </w:r>
      <w:r>
        <w:rPr>
          <w:rFonts w:ascii="Times New Roman" w:hAnsi="Times New Roman"/>
          <w:color w:val="3C3E40"/>
          <w:sz w:val="24"/>
        </w:rPr>
        <w:t>IP</w:t>
      </w:r>
      <w:r w:rsidRPr="004E073D">
        <w:rPr>
          <w:rFonts w:ascii="Times New Roman" w:hAnsi="Times New Roman"/>
          <w:color w:val="3C3E40"/>
          <w:sz w:val="24"/>
        </w:rPr>
        <w:t xml:space="preserve"> and granting the license will want to limit exclusivity, scope, duration and other attributes, while the other </w:t>
      </w:r>
      <w:r>
        <w:rPr>
          <w:rFonts w:ascii="Times New Roman" w:hAnsi="Times New Roman"/>
          <w:color w:val="3C3E40"/>
          <w:sz w:val="24"/>
        </w:rPr>
        <w:t xml:space="preserve">venture </w:t>
      </w:r>
      <w:r w:rsidRPr="004E073D">
        <w:rPr>
          <w:rFonts w:ascii="Times New Roman" w:hAnsi="Times New Roman"/>
          <w:color w:val="3C3E40"/>
          <w:sz w:val="24"/>
        </w:rPr>
        <w:t xml:space="preserve">party will want the license to be as broad and expansive in its rights grant as possible.  The parties will need to make provision for the license rights upon termination of the </w:t>
      </w:r>
      <w:r>
        <w:rPr>
          <w:rFonts w:ascii="Times New Roman" w:hAnsi="Times New Roman"/>
          <w:color w:val="3C3E40"/>
          <w:sz w:val="24"/>
        </w:rPr>
        <w:t>JV</w:t>
      </w:r>
      <w:r w:rsidRPr="004E073D">
        <w:rPr>
          <w:rFonts w:ascii="Times New Roman" w:hAnsi="Times New Roman"/>
          <w:color w:val="3C3E40"/>
          <w:sz w:val="24"/>
        </w:rPr>
        <w:t xml:space="preserve"> (see below), especially as to any products of the </w:t>
      </w:r>
      <w:r>
        <w:rPr>
          <w:rFonts w:ascii="Times New Roman" w:hAnsi="Times New Roman"/>
          <w:color w:val="3C3E40"/>
          <w:sz w:val="24"/>
        </w:rPr>
        <w:t>JV</w:t>
      </w:r>
      <w:r w:rsidRPr="004E073D">
        <w:rPr>
          <w:rFonts w:ascii="Times New Roman" w:hAnsi="Times New Roman"/>
          <w:color w:val="3C3E40"/>
          <w:sz w:val="24"/>
        </w:rPr>
        <w:t xml:space="preserve"> in inventory or otherwise awaiting sale at the time of termination. A perpetual license to end-customers to use the embedded </w:t>
      </w:r>
      <w:r>
        <w:rPr>
          <w:rFonts w:ascii="Times New Roman" w:hAnsi="Times New Roman"/>
          <w:color w:val="3C3E40"/>
          <w:sz w:val="24"/>
        </w:rPr>
        <w:t>IP in a JV product</w:t>
      </w:r>
      <w:r w:rsidRPr="004E073D">
        <w:rPr>
          <w:rFonts w:ascii="Times New Roman" w:hAnsi="Times New Roman"/>
          <w:color w:val="3C3E40"/>
          <w:sz w:val="24"/>
        </w:rPr>
        <w:t xml:space="preserve"> may also be necessary.</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bCs/>
          <w:i/>
          <w:color w:val="3C3E40"/>
          <w:sz w:val="24"/>
        </w:rPr>
        <w:t>Deal Point No. 8:  Division of Profits and Losses.</w:t>
      </w:r>
      <w:r w:rsidRPr="004E073D">
        <w:rPr>
          <w:rFonts w:ascii="Times New Roman" w:hAnsi="Times New Roman"/>
          <w:color w:val="3C3E40"/>
          <w:sz w:val="24"/>
        </w:rPr>
        <w:t xml:space="preserve">  The venturers’ division of profits and losses will typically follow their economic interests, but may, as noted above, be affected by </w:t>
      </w:r>
      <w:r>
        <w:rPr>
          <w:rFonts w:ascii="Times New Roman" w:hAnsi="Times New Roman"/>
          <w:color w:val="3C3E40"/>
          <w:sz w:val="24"/>
        </w:rPr>
        <w:t xml:space="preserve">regulatory issues and </w:t>
      </w:r>
      <w:r w:rsidRPr="004E073D">
        <w:rPr>
          <w:rFonts w:ascii="Times New Roman" w:hAnsi="Times New Roman"/>
          <w:color w:val="3C3E40"/>
          <w:sz w:val="24"/>
        </w:rPr>
        <w:t xml:space="preserve">conditions of </w:t>
      </w:r>
      <w:r w:rsidRPr="004E073D">
        <w:rPr>
          <w:rFonts w:ascii="Times New Roman" w:hAnsi="Times New Roman"/>
          <w:color w:val="3C3E40"/>
          <w:sz w:val="24"/>
        </w:rPr>
        <w:lastRenderedPageBreak/>
        <w:t>investment, under which, for example, a party that contributed cash would be repaid out of profits first. For tax and other reasons, profits and losses may be adjusted by employment, service and supply contracts that, in effect, convert some of the profits to fees paid to a party, and similar devices. In the case of employment contracts in particular, it is critical to observe the national laws of the place of employment. For example, the legal and regulatory regimes governing employment contracts in most of the European Union are stricter than in most of the United States.</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bCs/>
          <w:i/>
          <w:color w:val="3C3E40"/>
          <w:sz w:val="24"/>
        </w:rPr>
        <w:t>Deal Point No. 9:  Rights to Contributed Intellectual Property upon Termination.</w:t>
      </w:r>
      <w:r w:rsidRPr="004E073D">
        <w:rPr>
          <w:rFonts w:ascii="Times New Roman" w:hAnsi="Times New Roman"/>
          <w:color w:val="3C3E40"/>
          <w:sz w:val="24"/>
        </w:rPr>
        <w:t xml:space="preserve">  Typically, the venturers will negotiate for each to maintain its reversionary rights in the pre-existing </w:t>
      </w:r>
      <w:r>
        <w:rPr>
          <w:rFonts w:ascii="Times New Roman" w:hAnsi="Times New Roman"/>
          <w:color w:val="3C3E40"/>
          <w:sz w:val="24"/>
        </w:rPr>
        <w:t>IP</w:t>
      </w:r>
      <w:r w:rsidRPr="004E073D">
        <w:rPr>
          <w:rFonts w:ascii="Times New Roman" w:hAnsi="Times New Roman"/>
          <w:color w:val="3C3E40"/>
          <w:sz w:val="24"/>
        </w:rPr>
        <w:t xml:space="preserve"> post-</w:t>
      </w:r>
      <w:r>
        <w:rPr>
          <w:rFonts w:ascii="Times New Roman" w:hAnsi="Times New Roman"/>
          <w:color w:val="3C3E40"/>
          <w:sz w:val="24"/>
        </w:rPr>
        <w:t xml:space="preserve">JV </w:t>
      </w:r>
      <w:r w:rsidRPr="004E073D">
        <w:rPr>
          <w:rFonts w:ascii="Times New Roman" w:hAnsi="Times New Roman"/>
          <w:color w:val="3C3E40"/>
          <w:sz w:val="24"/>
        </w:rPr>
        <w:t xml:space="preserve">termination, subject to limited licenses for products in inventory and already sold to end-customers. More complicated will be the disposition of any </w:t>
      </w:r>
      <w:r>
        <w:rPr>
          <w:rFonts w:ascii="Times New Roman" w:hAnsi="Times New Roman"/>
          <w:color w:val="3C3E40"/>
          <w:sz w:val="24"/>
        </w:rPr>
        <w:t>IP</w:t>
      </w:r>
      <w:r w:rsidRPr="004E073D">
        <w:rPr>
          <w:rFonts w:ascii="Times New Roman" w:hAnsi="Times New Roman"/>
          <w:color w:val="3C3E40"/>
          <w:sz w:val="24"/>
        </w:rPr>
        <w:t xml:space="preserve"> developed jointly during the </w:t>
      </w:r>
      <w:r>
        <w:rPr>
          <w:rFonts w:ascii="Times New Roman" w:hAnsi="Times New Roman"/>
          <w:color w:val="3C3E40"/>
          <w:sz w:val="24"/>
        </w:rPr>
        <w:t>JV</w:t>
      </w:r>
      <w:r w:rsidRPr="004E073D">
        <w:rPr>
          <w:rFonts w:ascii="Times New Roman" w:hAnsi="Times New Roman"/>
          <w:color w:val="3C3E40"/>
          <w:sz w:val="24"/>
        </w:rPr>
        <w:t xml:space="preserve">. Such property can subject to buy-sell rights upon termination, royalty-bearing licenses or cross-licenses between the venturers post-termination, or shared use agreements.  A perpetual, limited license to pre-existing </w:t>
      </w:r>
      <w:r>
        <w:rPr>
          <w:rFonts w:ascii="Times New Roman" w:hAnsi="Times New Roman"/>
          <w:color w:val="3C3E40"/>
          <w:sz w:val="24"/>
        </w:rPr>
        <w:t>IP</w:t>
      </w:r>
      <w:r w:rsidRPr="004E073D">
        <w:rPr>
          <w:rFonts w:ascii="Times New Roman" w:hAnsi="Times New Roman"/>
          <w:color w:val="3C3E40"/>
          <w:sz w:val="24"/>
        </w:rPr>
        <w:t xml:space="preserve"> to the extent embedded in jointly developed </w:t>
      </w:r>
      <w:r>
        <w:rPr>
          <w:rFonts w:ascii="Times New Roman" w:hAnsi="Times New Roman"/>
          <w:color w:val="3C3E40"/>
          <w:sz w:val="24"/>
        </w:rPr>
        <w:t>IP</w:t>
      </w:r>
      <w:r w:rsidRPr="004E073D">
        <w:rPr>
          <w:rFonts w:ascii="Times New Roman" w:hAnsi="Times New Roman"/>
          <w:color w:val="3C3E40"/>
          <w:sz w:val="24"/>
        </w:rPr>
        <w:t xml:space="preserve"> may be necessary to the extent necessary to use, sell, license and exploit the jointly developed </w:t>
      </w:r>
      <w:r>
        <w:rPr>
          <w:rFonts w:ascii="Times New Roman" w:hAnsi="Times New Roman"/>
          <w:color w:val="3C3E40"/>
          <w:sz w:val="24"/>
        </w:rPr>
        <w:t>IP</w:t>
      </w:r>
      <w:r w:rsidRPr="004E073D">
        <w:rPr>
          <w:rFonts w:ascii="Times New Roman" w:hAnsi="Times New Roman"/>
          <w:color w:val="3C3E40"/>
          <w:sz w:val="24"/>
        </w:rPr>
        <w:t xml:space="preserve">.  For both </w:t>
      </w:r>
      <w:r>
        <w:rPr>
          <w:rFonts w:ascii="Times New Roman" w:hAnsi="Times New Roman"/>
          <w:color w:val="3C3E40"/>
          <w:sz w:val="24"/>
        </w:rPr>
        <w:t>IP</w:t>
      </w:r>
      <w:r w:rsidRPr="004E073D">
        <w:rPr>
          <w:rFonts w:ascii="Times New Roman" w:hAnsi="Times New Roman"/>
          <w:color w:val="3C3E40"/>
          <w:sz w:val="24"/>
        </w:rPr>
        <w:t xml:space="preserve"> and other contributed assets, a valuation mechanism both at the time of formation/contribution and upon termination should be negotiated and documented.</w:t>
      </w: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p>
    <w:p w:rsidR="00CB006C" w:rsidRPr="004E073D" w:rsidRDefault="00CB006C" w:rsidP="00CB006C">
      <w:pPr>
        <w:widowControl w:val="0"/>
        <w:tabs>
          <w:tab w:val="left" w:pos="220"/>
          <w:tab w:val="left" w:pos="720"/>
        </w:tabs>
        <w:autoSpaceDE w:val="0"/>
        <w:autoSpaceDN w:val="0"/>
        <w:adjustRightInd w:val="0"/>
        <w:jc w:val="both"/>
        <w:rPr>
          <w:rFonts w:ascii="Times New Roman" w:hAnsi="Times New Roman"/>
          <w:sz w:val="24"/>
        </w:rPr>
      </w:pPr>
      <w:r w:rsidRPr="00CF78C6">
        <w:rPr>
          <w:rFonts w:ascii="Times New Roman" w:hAnsi="Times New Roman"/>
          <w:b/>
          <w:i/>
          <w:color w:val="3C3E40"/>
          <w:sz w:val="24"/>
        </w:rPr>
        <w:t xml:space="preserve">Deal Point No. 10:  </w:t>
      </w:r>
      <w:r w:rsidRPr="00CF78C6">
        <w:rPr>
          <w:rFonts w:ascii="Times New Roman" w:hAnsi="Times New Roman"/>
          <w:b/>
          <w:bCs/>
          <w:i/>
          <w:color w:val="3C3E40"/>
          <w:sz w:val="24"/>
        </w:rPr>
        <w:t>Other Termination Issues.</w:t>
      </w:r>
      <w:r w:rsidRPr="004E073D">
        <w:rPr>
          <w:rFonts w:ascii="Times New Roman" w:hAnsi="Times New Roman"/>
          <w:b/>
          <w:bCs/>
          <w:color w:val="3C3E40"/>
          <w:sz w:val="24"/>
        </w:rPr>
        <w:t xml:space="preserve">  </w:t>
      </w:r>
      <w:r w:rsidRPr="004E073D">
        <w:rPr>
          <w:rFonts w:ascii="Times New Roman" w:hAnsi="Times New Roman"/>
          <w:color w:val="3C3E40"/>
          <w:sz w:val="24"/>
        </w:rPr>
        <w:t xml:space="preserve">Termination rights and events activating them must be clearly spelled out in either the agreements for the vehicle embodying the </w:t>
      </w:r>
      <w:r>
        <w:rPr>
          <w:rFonts w:ascii="Times New Roman" w:hAnsi="Times New Roman"/>
          <w:color w:val="3C3E40"/>
          <w:sz w:val="24"/>
        </w:rPr>
        <w:t>JV</w:t>
      </w:r>
      <w:r w:rsidRPr="004E073D">
        <w:rPr>
          <w:rFonts w:ascii="Times New Roman" w:hAnsi="Times New Roman"/>
          <w:color w:val="3C3E40"/>
          <w:sz w:val="24"/>
        </w:rPr>
        <w:t xml:space="preserve"> (for example, an LLC operating agreement or a limited partnership agreement), or in ancillary contracts among the parties. Termination events and rights may activate buy-sell rights, in which the parties have rights to buy out each other’s interest; rights of first refusal and first negotiation will typically be a part of such buy-sell rights. Rights to agree to </w:t>
      </w:r>
      <w:r>
        <w:rPr>
          <w:rFonts w:ascii="Times New Roman" w:hAnsi="Times New Roman"/>
          <w:color w:val="3C3E40"/>
          <w:sz w:val="24"/>
        </w:rPr>
        <w:t xml:space="preserve">or veto </w:t>
      </w:r>
      <w:r w:rsidRPr="004E073D">
        <w:rPr>
          <w:rFonts w:ascii="Times New Roman" w:hAnsi="Times New Roman"/>
          <w:color w:val="3C3E40"/>
          <w:sz w:val="24"/>
        </w:rPr>
        <w:t xml:space="preserve">other exits, such as a sale to a third party, or even to an IPO, must also be negotiated.  For example, the case in which an offer to purchase the </w:t>
      </w:r>
      <w:r>
        <w:rPr>
          <w:rFonts w:ascii="Times New Roman" w:hAnsi="Times New Roman"/>
          <w:color w:val="3C3E40"/>
          <w:sz w:val="24"/>
        </w:rPr>
        <w:t>JV</w:t>
      </w:r>
      <w:r w:rsidRPr="004E073D">
        <w:rPr>
          <w:rFonts w:ascii="Times New Roman" w:hAnsi="Times New Roman"/>
          <w:color w:val="3C3E40"/>
          <w:sz w:val="24"/>
        </w:rPr>
        <w:t xml:space="preserve"> is received, and the venturers are divided as to whether to sell, must be negotiated.  It will probably be necessary to establish in the governing documents a valuation procedure for the </w:t>
      </w:r>
      <w:r>
        <w:rPr>
          <w:rFonts w:ascii="Times New Roman" w:hAnsi="Times New Roman"/>
          <w:color w:val="3C3E40"/>
          <w:sz w:val="24"/>
        </w:rPr>
        <w:t>JV</w:t>
      </w:r>
      <w:r w:rsidRPr="004E073D">
        <w:rPr>
          <w:rFonts w:ascii="Times New Roman" w:hAnsi="Times New Roman"/>
          <w:color w:val="3C3E40"/>
          <w:sz w:val="24"/>
        </w:rPr>
        <w:t xml:space="preserve"> to determine whether the offer is a fair market one, and whether, and how, the buy-sell rights should be activated.  For example, if a </w:t>
      </w:r>
      <w:r>
        <w:rPr>
          <w:rFonts w:ascii="Times New Roman" w:hAnsi="Times New Roman"/>
          <w:color w:val="3C3E40"/>
          <w:sz w:val="24"/>
        </w:rPr>
        <w:t>JV</w:t>
      </w:r>
      <w:r w:rsidRPr="004E073D">
        <w:rPr>
          <w:rFonts w:ascii="Times New Roman" w:hAnsi="Times New Roman"/>
          <w:color w:val="3C3E40"/>
          <w:sz w:val="24"/>
        </w:rPr>
        <w:t xml:space="preserve"> was originally scheduled to last for five years, and an offer determined to be for fair market value was received late in the fifth year, buy-sell rights with rights of first refusal and first negotiation might well be activated; whereas a clearly below-market offer received in the first year of the </w:t>
      </w:r>
      <w:r>
        <w:rPr>
          <w:rFonts w:ascii="Times New Roman" w:hAnsi="Times New Roman"/>
          <w:color w:val="3C3E40"/>
          <w:sz w:val="24"/>
        </w:rPr>
        <w:t>JV</w:t>
      </w:r>
      <w:r w:rsidRPr="004E073D">
        <w:rPr>
          <w:rFonts w:ascii="Times New Roman" w:hAnsi="Times New Roman"/>
          <w:color w:val="3C3E40"/>
          <w:sz w:val="24"/>
        </w:rPr>
        <w:t xml:space="preserve"> might not need to activate those rights. A dissolution and winding up procedure, including disposition of </w:t>
      </w:r>
      <w:r>
        <w:rPr>
          <w:rFonts w:ascii="Times New Roman" w:hAnsi="Times New Roman"/>
          <w:color w:val="3C3E40"/>
          <w:sz w:val="24"/>
        </w:rPr>
        <w:t xml:space="preserve">JV </w:t>
      </w:r>
      <w:r w:rsidRPr="004E073D">
        <w:rPr>
          <w:rFonts w:ascii="Times New Roman" w:hAnsi="Times New Roman"/>
          <w:color w:val="3C3E40"/>
          <w:sz w:val="24"/>
        </w:rPr>
        <w:t xml:space="preserve">property (including </w:t>
      </w:r>
      <w:r>
        <w:rPr>
          <w:rFonts w:ascii="Times New Roman" w:hAnsi="Times New Roman"/>
          <w:color w:val="3C3E40"/>
          <w:sz w:val="24"/>
        </w:rPr>
        <w:t>IP</w:t>
      </w:r>
      <w:r w:rsidRPr="004E073D">
        <w:rPr>
          <w:rFonts w:ascii="Times New Roman" w:hAnsi="Times New Roman"/>
          <w:color w:val="3C3E40"/>
          <w:sz w:val="24"/>
        </w:rPr>
        <w:t xml:space="preserve">) and property pre-existing the </w:t>
      </w:r>
      <w:r>
        <w:rPr>
          <w:rFonts w:ascii="Times New Roman" w:hAnsi="Times New Roman"/>
          <w:color w:val="3C3E40"/>
          <w:sz w:val="24"/>
        </w:rPr>
        <w:t>JV</w:t>
      </w:r>
      <w:r w:rsidRPr="004E073D">
        <w:rPr>
          <w:rFonts w:ascii="Times New Roman" w:hAnsi="Times New Roman"/>
          <w:color w:val="3C3E40"/>
          <w:sz w:val="24"/>
        </w:rPr>
        <w:t xml:space="preserve"> should also be negotiated.</w:t>
      </w:r>
    </w:p>
    <w:p w:rsidR="00252431" w:rsidRDefault="00252431" w:rsidP="003417F0">
      <w:pPr>
        <w:widowControl w:val="0"/>
        <w:tabs>
          <w:tab w:val="left" w:pos="220"/>
          <w:tab w:val="left" w:pos="720"/>
        </w:tabs>
        <w:autoSpaceDE w:val="0"/>
        <w:autoSpaceDN w:val="0"/>
        <w:adjustRightInd w:val="0"/>
        <w:jc w:val="both"/>
        <w:rPr>
          <w:rFonts w:ascii="Times New Roman" w:hAnsi="Times New Roman"/>
          <w:sz w:val="24"/>
        </w:rPr>
      </w:pPr>
    </w:p>
    <w:p w:rsidR="00252431" w:rsidRDefault="00252431" w:rsidP="003417F0">
      <w:pPr>
        <w:widowControl w:val="0"/>
        <w:tabs>
          <w:tab w:val="left" w:pos="220"/>
          <w:tab w:val="left" w:pos="720"/>
        </w:tabs>
        <w:autoSpaceDE w:val="0"/>
        <w:autoSpaceDN w:val="0"/>
        <w:adjustRightInd w:val="0"/>
        <w:jc w:val="both"/>
        <w:rPr>
          <w:rFonts w:ascii="Times New Roman" w:hAnsi="Times New Roman"/>
          <w:sz w:val="24"/>
        </w:rPr>
      </w:pPr>
    </w:p>
    <w:p w:rsidR="003417F0" w:rsidRPr="000225CC" w:rsidRDefault="003417F0" w:rsidP="003417F0">
      <w:pPr>
        <w:widowControl w:val="0"/>
        <w:tabs>
          <w:tab w:val="left" w:pos="220"/>
          <w:tab w:val="left" w:pos="720"/>
        </w:tabs>
        <w:autoSpaceDE w:val="0"/>
        <w:autoSpaceDN w:val="0"/>
        <w:adjustRightInd w:val="0"/>
        <w:jc w:val="both"/>
        <w:rPr>
          <w:rFonts w:ascii="Times New Roman" w:hAnsi="Times New Roman"/>
          <w:sz w:val="24"/>
        </w:rPr>
      </w:pP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p>
    <w:p w:rsidR="003417F0" w:rsidRDefault="003417F0" w:rsidP="00CB006C">
      <w:pPr>
        <w:widowControl w:val="0"/>
        <w:tabs>
          <w:tab w:val="left" w:pos="220"/>
          <w:tab w:val="left" w:pos="720"/>
        </w:tabs>
        <w:autoSpaceDE w:val="0"/>
        <w:autoSpaceDN w:val="0"/>
        <w:adjustRightInd w:val="0"/>
        <w:jc w:val="both"/>
        <w:rPr>
          <w:rFonts w:ascii="Times New Roman" w:hAnsi="Times New Roman"/>
          <w:sz w:val="24"/>
        </w:rPr>
      </w:pP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t>Owen D. Kurtin</w:t>
      </w:r>
    </w:p>
    <w:p w:rsidR="00252431" w:rsidRDefault="00252431" w:rsidP="003417F0">
      <w:pPr>
        <w:jc w:val="both"/>
        <w:rPr>
          <w:rFonts w:ascii="Times New Roman" w:hAnsi="Times New Roman"/>
          <w:bCs/>
          <w:color w:val="3C3E40"/>
          <w:sz w:val="20"/>
          <w:szCs w:val="20"/>
        </w:rPr>
      </w:pPr>
    </w:p>
    <w:p w:rsidR="00252431" w:rsidRDefault="00252431" w:rsidP="003417F0">
      <w:pPr>
        <w:jc w:val="both"/>
        <w:rPr>
          <w:rFonts w:ascii="Times New Roman" w:hAnsi="Times New Roman"/>
          <w:bCs/>
          <w:color w:val="3C3E40"/>
          <w:sz w:val="20"/>
          <w:szCs w:val="20"/>
        </w:rPr>
      </w:pPr>
    </w:p>
    <w:p w:rsidR="00252431" w:rsidRDefault="00252431" w:rsidP="003417F0">
      <w:pPr>
        <w:jc w:val="both"/>
        <w:rPr>
          <w:rFonts w:ascii="Times New Roman" w:hAnsi="Times New Roman"/>
          <w:bCs/>
          <w:color w:val="3C3E40"/>
          <w:sz w:val="20"/>
          <w:szCs w:val="20"/>
        </w:rPr>
      </w:pPr>
    </w:p>
    <w:p w:rsidR="003417F0" w:rsidRPr="00BC64AB" w:rsidRDefault="003417F0" w:rsidP="003417F0">
      <w:pPr>
        <w:jc w:val="both"/>
        <w:rPr>
          <w:rFonts w:ascii="Times New Roman" w:hAnsi="Times New Roman"/>
          <w:color w:val="3C3E40"/>
          <w:sz w:val="20"/>
          <w:szCs w:val="20"/>
        </w:rPr>
      </w:pPr>
      <w:r w:rsidRPr="00BC64AB">
        <w:rPr>
          <w:rFonts w:ascii="Times New Roman" w:hAnsi="Times New Roman"/>
          <w:bCs/>
          <w:color w:val="3C3E40"/>
          <w:sz w:val="20"/>
          <w:szCs w:val="20"/>
        </w:rPr>
        <w:t>Kurtin PLLC</w:t>
      </w:r>
      <w:r w:rsidRPr="00BC64AB">
        <w:rPr>
          <w:rFonts w:ascii="Times New Roman" w:hAnsi="Times New Roman"/>
          <w:color w:val="3C3E40"/>
          <w:sz w:val="20"/>
          <w:szCs w:val="20"/>
        </w:rPr>
        <w:t xml:space="preserve"> is a New York City-based law firm focused on corporate, commercial and regulatory representation in the Biotechnology &amp; Life Sciences, Communications &amp; Media, Information Technologies and Satellites &amp; Space sectors. For further information, please see our website at </w:t>
      </w:r>
      <w:hyperlink r:id="rId9" w:history="1">
        <w:r w:rsidRPr="00BC64AB">
          <w:rPr>
            <w:rFonts w:ascii="Times New Roman" w:hAnsi="Times New Roman"/>
            <w:color w:val="784FBF"/>
            <w:sz w:val="20"/>
            <w:szCs w:val="20"/>
          </w:rPr>
          <w:t>www.kurtinlaw.com</w:t>
        </w:r>
      </w:hyperlink>
      <w:r w:rsidRPr="00BC64AB">
        <w:rPr>
          <w:rFonts w:ascii="Times New Roman" w:hAnsi="Times New Roman"/>
          <w:color w:val="3C3E40"/>
          <w:sz w:val="20"/>
          <w:szCs w:val="20"/>
        </w:rPr>
        <w:t xml:space="preserve"> and contact </w:t>
      </w:r>
      <w:hyperlink r:id="rId10" w:history="1">
        <w:r w:rsidRPr="00BC64AB">
          <w:rPr>
            <w:rStyle w:val="Hyperlink"/>
            <w:rFonts w:ascii="Times New Roman" w:hAnsi="Times New Roman"/>
            <w:sz w:val="20"/>
            <w:szCs w:val="20"/>
          </w:rPr>
          <w:t>info@kurtinlaw.com</w:t>
        </w:r>
      </w:hyperlink>
      <w:r w:rsidRPr="00BC64AB">
        <w:rPr>
          <w:rFonts w:ascii="Times New Roman" w:hAnsi="Times New Roman"/>
          <w:color w:val="3C3E40"/>
          <w:sz w:val="20"/>
          <w:szCs w:val="20"/>
        </w:rPr>
        <w:t>.</w:t>
      </w:r>
    </w:p>
    <w:p w:rsidR="003417F0" w:rsidRPr="00BC64AB" w:rsidRDefault="003417F0" w:rsidP="003417F0">
      <w:pPr>
        <w:jc w:val="both"/>
        <w:rPr>
          <w:rFonts w:ascii="Times New Roman" w:hAnsi="Times New Roman"/>
          <w:color w:val="3C3E40"/>
          <w:sz w:val="20"/>
          <w:szCs w:val="20"/>
        </w:rPr>
      </w:pPr>
    </w:p>
    <w:p w:rsidR="003417F0" w:rsidRPr="00BC64AB" w:rsidRDefault="003417F0" w:rsidP="003417F0">
      <w:pPr>
        <w:jc w:val="both"/>
        <w:rPr>
          <w:rFonts w:ascii="Times New Roman" w:hAnsi="Times New Roman"/>
          <w:color w:val="343434"/>
          <w:sz w:val="20"/>
          <w:szCs w:val="20"/>
        </w:rPr>
      </w:pPr>
      <w:r w:rsidRPr="00BC64AB">
        <w:rPr>
          <w:rFonts w:ascii="Times New Roman" w:hAnsi="Times New Roman"/>
          <w:color w:val="343434"/>
          <w:sz w:val="20"/>
          <w:szCs w:val="20"/>
        </w:rPr>
        <w:lastRenderedPageBreak/>
        <w:t>The materials contained in this advisory have been prepared for general informational purposes only and should not be construed or relied upon as legal advice or a legal opinion on any specific facts and circumstances. The publication and dissemination, including on-line, of these materials and receipt, review, response to or other use of them does not create or constitute an attorney-client relationship.</w:t>
      </w:r>
    </w:p>
    <w:p w:rsidR="003417F0" w:rsidRPr="00BC64AB" w:rsidRDefault="003417F0" w:rsidP="003417F0">
      <w:pPr>
        <w:jc w:val="both"/>
        <w:rPr>
          <w:rFonts w:ascii="Times New Roman" w:hAnsi="Times New Roman"/>
          <w:color w:val="343434"/>
          <w:sz w:val="20"/>
          <w:szCs w:val="20"/>
        </w:rPr>
      </w:pPr>
    </w:p>
    <w:p w:rsidR="003417F0" w:rsidRPr="00BC64AB" w:rsidRDefault="003417F0" w:rsidP="003417F0">
      <w:pPr>
        <w:jc w:val="both"/>
        <w:rPr>
          <w:rFonts w:ascii="Times New Roman" w:hAnsi="Times New Roman"/>
          <w:color w:val="343434"/>
          <w:sz w:val="20"/>
          <w:szCs w:val="20"/>
        </w:rPr>
      </w:pPr>
      <w:r w:rsidRPr="00BC64AB">
        <w:rPr>
          <w:rFonts w:ascii="Times New Roman" w:hAnsi="Times New Roman"/>
          <w:color w:val="343434"/>
          <w:sz w:val="20"/>
          <w:szCs w:val="20"/>
        </w:rPr>
        <w:t>To ensure compliance with requirements imposed by the Internal Revenue Service, we inform you that any tax advice contained in this communication (including any attachments) was not intended or written to be used, and cannot be used, for the purpose of (i) avoiding tax-related penalties under the Internal Revenue Code or (ii) promoting, marketing or recommending to another party any tax-related matter(s) addressed herein.</w:t>
      </w:r>
    </w:p>
    <w:p w:rsidR="003417F0" w:rsidRPr="00BC64AB" w:rsidRDefault="003417F0" w:rsidP="003417F0">
      <w:pPr>
        <w:jc w:val="both"/>
        <w:rPr>
          <w:rFonts w:ascii="Times New Roman" w:hAnsi="Times New Roman"/>
          <w:color w:val="343434"/>
          <w:sz w:val="20"/>
          <w:szCs w:val="20"/>
        </w:rPr>
      </w:pPr>
    </w:p>
    <w:p w:rsidR="003417F0" w:rsidRPr="00BC64AB" w:rsidRDefault="003417F0" w:rsidP="003417F0">
      <w:pPr>
        <w:jc w:val="both"/>
        <w:rPr>
          <w:rFonts w:ascii="Times New Roman" w:hAnsi="Times New Roman"/>
          <w:color w:val="343434"/>
          <w:sz w:val="20"/>
          <w:szCs w:val="20"/>
        </w:rPr>
      </w:pPr>
      <w:r w:rsidRPr="00BC64AB">
        <w:rPr>
          <w:rFonts w:ascii="Times New Roman" w:hAnsi="Times New Roman"/>
          <w:color w:val="343434"/>
          <w:sz w:val="20"/>
          <w:szCs w:val="20"/>
        </w:rPr>
        <w:t>These materials may contain attorney advertising.  Prior results do not guarantee a similar outcome.</w:t>
      </w:r>
    </w:p>
    <w:p w:rsidR="003417F0" w:rsidRPr="00BC64AB" w:rsidRDefault="003417F0" w:rsidP="003417F0">
      <w:pPr>
        <w:jc w:val="both"/>
        <w:rPr>
          <w:rFonts w:ascii="Times New Roman" w:hAnsi="Times New Roman"/>
          <w:color w:val="343434"/>
          <w:sz w:val="20"/>
          <w:szCs w:val="20"/>
        </w:rPr>
      </w:pPr>
    </w:p>
    <w:p w:rsidR="001E090B" w:rsidRPr="00DD5EC5" w:rsidRDefault="003417F0" w:rsidP="00CB006C">
      <w:pPr>
        <w:widowControl w:val="0"/>
        <w:tabs>
          <w:tab w:val="left" w:pos="220"/>
          <w:tab w:val="left" w:pos="720"/>
        </w:tabs>
        <w:autoSpaceDE w:val="0"/>
        <w:autoSpaceDN w:val="0"/>
        <w:adjustRightInd w:val="0"/>
      </w:pPr>
      <w:r w:rsidRPr="00BC64AB">
        <w:rPr>
          <w:rFonts w:ascii="Times New Roman" w:hAnsi="Times New Roman"/>
          <w:color w:val="343434"/>
          <w:sz w:val="20"/>
          <w:szCs w:val="20"/>
        </w:rPr>
        <w:t xml:space="preserve">Copyright © Kurtin PLLC </w:t>
      </w:r>
      <w:r w:rsidR="00CB006C">
        <w:rPr>
          <w:rFonts w:ascii="Times New Roman" w:hAnsi="Times New Roman"/>
          <w:color w:val="343434"/>
          <w:sz w:val="20"/>
          <w:szCs w:val="20"/>
        </w:rPr>
        <w:t>2016-</w:t>
      </w:r>
      <w:r w:rsidRPr="00BC64AB">
        <w:rPr>
          <w:rFonts w:ascii="Times New Roman" w:hAnsi="Times New Roman"/>
          <w:color w:val="343434"/>
          <w:sz w:val="20"/>
          <w:szCs w:val="20"/>
        </w:rPr>
        <w:t>201</w:t>
      </w:r>
      <w:r>
        <w:rPr>
          <w:rFonts w:ascii="Times New Roman" w:hAnsi="Times New Roman"/>
          <w:color w:val="343434"/>
          <w:sz w:val="20"/>
          <w:szCs w:val="20"/>
        </w:rPr>
        <w:t>8.</w:t>
      </w:r>
      <w:r w:rsidRPr="00BC64AB">
        <w:rPr>
          <w:rFonts w:ascii="Times New Roman" w:hAnsi="Times New Roman"/>
          <w:color w:val="343434"/>
          <w:sz w:val="20"/>
          <w:szCs w:val="20"/>
        </w:rPr>
        <w:t xml:space="preserve">  All Rights Reserved.</w:t>
      </w:r>
    </w:p>
    <w:sectPr w:rsidR="001E090B" w:rsidRPr="00DD5EC5" w:rsidSect="001E30E3">
      <w:headerReference w:type="even" r:id="rId11"/>
      <w:headerReference w:type="default" r:id="rId12"/>
      <w:footerReference w:type="default" r:id="rId13"/>
      <w:headerReference w:type="first" r:id="rId14"/>
      <w:footerReference w:type="first" r:id="rId15"/>
      <w:pgSz w:w="12240" w:h="15840"/>
      <w:pgMar w:top="2304" w:right="720" w:bottom="936" w:left="72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07" w:rsidRDefault="008E4B07">
      <w:r>
        <w:separator/>
      </w:r>
    </w:p>
  </w:endnote>
  <w:endnote w:type="continuationSeparator" w:id="0">
    <w:p w:rsidR="008E4B07" w:rsidRDefault="008E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 New Baskerville St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53705"/>
      <w:docPartObj>
        <w:docPartGallery w:val="Page Numbers (Bottom of Page)"/>
        <w:docPartUnique/>
      </w:docPartObj>
    </w:sdtPr>
    <w:sdtEndPr>
      <w:rPr>
        <w:noProof/>
      </w:rPr>
    </w:sdtEndPr>
    <w:sdtContent>
      <w:p w:rsidR="00252431" w:rsidRDefault="00252431" w:rsidP="00252431">
        <w:pPr>
          <w:pStyle w:val="Footer"/>
        </w:pPr>
      </w:p>
      <w:p w:rsidR="00252431" w:rsidRPr="00D649E0" w:rsidRDefault="00252431" w:rsidP="00252431">
        <w:pPr>
          <w:pStyle w:val="Footer"/>
          <w:jc w:val="center"/>
          <w:rPr>
            <w:rFonts w:ascii="Arial" w:hAnsi="Arial" w:cs="Arial"/>
            <w:color w:val="083F88"/>
            <w:sz w:val="16"/>
          </w:rPr>
        </w:pPr>
        <w:r w:rsidRPr="00D649E0">
          <w:rPr>
            <w:rFonts w:ascii="Arial" w:hAnsi="Arial" w:cs="Arial"/>
            <w:color w:val="083F88"/>
            <w:sz w:val="16"/>
          </w:rPr>
          <w:t>T: 212.554.3373 |</w:t>
        </w:r>
        <w:r>
          <w:rPr>
            <w:rFonts w:ascii="Arial" w:hAnsi="Arial" w:cs="Arial"/>
            <w:color w:val="083F88"/>
            <w:sz w:val="16"/>
          </w:rPr>
          <w:t xml:space="preserve"> </w:t>
        </w:r>
        <w:r w:rsidRPr="00D649E0">
          <w:rPr>
            <w:rFonts w:ascii="Arial" w:hAnsi="Arial" w:cs="Arial"/>
            <w:color w:val="083F88"/>
            <w:sz w:val="16"/>
          </w:rPr>
          <w:t>E: info@kurtinlaw.com | W: www.kurtinlaw.com</w:t>
        </w:r>
      </w:p>
      <w:p w:rsidR="00817270" w:rsidRDefault="00817270">
        <w:pPr>
          <w:pStyle w:val="Footer"/>
          <w:jc w:val="center"/>
        </w:pPr>
        <w:r>
          <w:fldChar w:fldCharType="begin"/>
        </w:r>
        <w:r>
          <w:instrText xml:space="preserve"> PAGE   \* MERGEFORMAT </w:instrText>
        </w:r>
        <w:r>
          <w:fldChar w:fldCharType="separate"/>
        </w:r>
        <w:r w:rsidR="00252431">
          <w:rPr>
            <w:noProof/>
          </w:rPr>
          <w:t>1</w:t>
        </w:r>
        <w:r>
          <w:rPr>
            <w:noProof/>
          </w:rPr>
          <w:fldChar w:fldCharType="end"/>
        </w:r>
      </w:p>
    </w:sdtContent>
  </w:sdt>
  <w:p w:rsidR="00FF3268" w:rsidRPr="00DD5EC5" w:rsidRDefault="00FF3268" w:rsidP="001E30E3">
    <w:pPr>
      <w:pStyle w:val="Footer"/>
      <w:spacing w:before="240"/>
      <w:jc w:val="center"/>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B" w:rsidRDefault="001E090B">
    <w:pPr>
      <w:pStyle w:val="Footer"/>
    </w:pPr>
  </w:p>
  <w:p w:rsidR="001A48AA" w:rsidRPr="00D649E0" w:rsidRDefault="001A48AA" w:rsidP="001A48AA">
    <w:pPr>
      <w:pStyle w:val="Footer"/>
      <w:jc w:val="center"/>
      <w:rPr>
        <w:rFonts w:ascii="Arial" w:hAnsi="Arial" w:cs="Arial"/>
        <w:color w:val="083F88"/>
        <w:sz w:val="16"/>
      </w:rPr>
    </w:pPr>
    <w:r w:rsidRPr="00D649E0">
      <w:rPr>
        <w:rFonts w:ascii="Arial" w:hAnsi="Arial" w:cs="Arial"/>
        <w:color w:val="083F88"/>
        <w:sz w:val="16"/>
      </w:rPr>
      <w:t>T: 212.554.3373 |</w:t>
    </w:r>
    <w:r w:rsidR="0036739A">
      <w:rPr>
        <w:rFonts w:ascii="Arial" w:hAnsi="Arial" w:cs="Arial"/>
        <w:color w:val="083F88"/>
        <w:sz w:val="16"/>
      </w:rPr>
      <w:t xml:space="preserve"> </w:t>
    </w:r>
    <w:r w:rsidRPr="00D649E0">
      <w:rPr>
        <w:rFonts w:ascii="Arial" w:hAnsi="Arial" w:cs="Arial"/>
        <w:color w:val="083F88"/>
        <w:sz w:val="16"/>
      </w:rPr>
      <w:t>E: info@kurtinlaw.com | W: www.kurtinlaw.com</w:t>
    </w:r>
  </w:p>
  <w:p w:rsidR="001A48AA" w:rsidRDefault="001A48AA" w:rsidP="001A48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07" w:rsidRDefault="008E4B07">
      <w:r>
        <w:separator/>
      </w:r>
    </w:p>
  </w:footnote>
  <w:footnote w:type="continuationSeparator" w:id="0">
    <w:p w:rsidR="008E4B07" w:rsidRDefault="008E4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68" w:rsidRDefault="008E4B07">
    <w:r>
      <w:rPr>
        <w:szCs w:val="20"/>
      </w:rPr>
      <w:pict w14:anchorId="08497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39.95pt;height:539.95pt;z-index:-251658752;mso-wrap-edited:f;mso-position-horizontal:center;mso-position-horizontal-relative:margin;mso-position-vertical:center;mso-position-vertical-relative:margin" wrapcoords="-30 0 -30 21570 21600 21570 21600 0 -30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B" w:rsidRPr="00DD5EC5" w:rsidRDefault="00055D8E" w:rsidP="001E090B">
    <w:pPr>
      <w:ind w:left="-72"/>
      <w:rPr>
        <w:rFonts w:ascii="ITC New Baskerville Std" w:hAnsi="ITC New Baskerville Std"/>
        <w:color w:val="637991"/>
        <w:sz w:val="28"/>
      </w:rPr>
    </w:pPr>
    <w:r>
      <w:rPr>
        <w:rFonts w:ascii="ITC New Baskerville Std" w:hAnsi="ITC New Baskerville Std"/>
        <w:noProof/>
        <w:color w:val="637991"/>
        <w:sz w:val="28"/>
        <w:szCs w:val="20"/>
      </w:rPr>
      <w:drawing>
        <wp:inline distT="0" distB="0" distL="0" distR="0" wp14:anchorId="58CF7221" wp14:editId="295A3CA6">
          <wp:extent cx="6858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inlaw_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68" w:rsidRDefault="001E090B">
    <w:r>
      <w:rPr>
        <w:rFonts w:ascii="ITC New Baskerville Std" w:hAnsi="ITC New Baskerville Std"/>
        <w:noProof/>
        <w:color w:val="637991"/>
        <w:sz w:val="28"/>
        <w:szCs w:val="20"/>
      </w:rPr>
      <w:drawing>
        <wp:inline distT="0" distB="0" distL="0" distR="0" wp14:anchorId="05D56BEC" wp14:editId="6799F860">
          <wp:extent cx="6858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inlaw_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32C"/>
    <w:multiLevelType w:val="hybridMultilevel"/>
    <w:tmpl w:val="9B0C9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F7F13"/>
    <w:multiLevelType w:val="hybridMultilevel"/>
    <w:tmpl w:val="C494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47B07"/>
    <w:multiLevelType w:val="hybridMultilevel"/>
    <w:tmpl w:val="B964C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715C9"/>
    <w:multiLevelType w:val="hybridMultilevel"/>
    <w:tmpl w:val="83781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26A19"/>
    <w:multiLevelType w:val="hybridMultilevel"/>
    <w:tmpl w:val="3EC6B208"/>
    <w:lvl w:ilvl="0" w:tplc="296214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67151"/>
    <w:multiLevelType w:val="hybridMultilevel"/>
    <w:tmpl w:val="5E544094"/>
    <w:lvl w:ilvl="0" w:tplc="0018F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F413C"/>
    <w:multiLevelType w:val="hybridMultilevel"/>
    <w:tmpl w:val="AD30A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6C"/>
    <w:rsid w:val="00055D8E"/>
    <w:rsid w:val="001A48AA"/>
    <w:rsid w:val="001E090B"/>
    <w:rsid w:val="001E30E3"/>
    <w:rsid w:val="00252431"/>
    <w:rsid w:val="003417F0"/>
    <w:rsid w:val="0036739A"/>
    <w:rsid w:val="00396773"/>
    <w:rsid w:val="00404E8F"/>
    <w:rsid w:val="00445B15"/>
    <w:rsid w:val="005959D7"/>
    <w:rsid w:val="005E1331"/>
    <w:rsid w:val="00817270"/>
    <w:rsid w:val="008228AE"/>
    <w:rsid w:val="008E4B07"/>
    <w:rsid w:val="00922443"/>
    <w:rsid w:val="00996E37"/>
    <w:rsid w:val="009B761F"/>
    <w:rsid w:val="00A6351A"/>
    <w:rsid w:val="00AB4679"/>
    <w:rsid w:val="00BD487E"/>
    <w:rsid w:val="00CB006C"/>
    <w:rsid w:val="00D30E45"/>
    <w:rsid w:val="00DB704F"/>
    <w:rsid w:val="00FF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FF"/>
    <w:rPr>
      <w:rFonts w:ascii="Helvetica" w:hAnsi="Helvetica"/>
      <w:sz w:val="18"/>
      <w:szCs w:val="24"/>
    </w:rPr>
  </w:style>
  <w:style w:type="paragraph" w:styleId="Heading1">
    <w:name w:val="heading 1"/>
    <w:basedOn w:val="Normal"/>
    <w:next w:val="Normal"/>
    <w:qFormat/>
    <w:rsid w:val="002541FF"/>
    <w:pPr>
      <w:keepNext/>
      <w:spacing w:before="240" w:after="60"/>
      <w:outlineLvl w:val="0"/>
    </w:pPr>
    <w:rPr>
      <w:color w:val="000080"/>
      <w:kern w:val="32"/>
      <w:sz w:val="28"/>
      <w:szCs w:val="32"/>
    </w:rPr>
  </w:style>
  <w:style w:type="paragraph" w:styleId="Heading2">
    <w:name w:val="heading 2"/>
    <w:basedOn w:val="Normal"/>
    <w:next w:val="Normal"/>
    <w:qFormat/>
    <w:rsid w:val="002541FF"/>
    <w:pPr>
      <w:keepNext/>
      <w:spacing w:before="240" w:after="60"/>
      <w:outlineLvl w:val="1"/>
    </w:pPr>
    <w:rPr>
      <w:sz w:val="24"/>
      <w:szCs w:val="28"/>
    </w:rPr>
  </w:style>
  <w:style w:type="paragraph" w:styleId="Heading3">
    <w:name w:val="heading 3"/>
    <w:basedOn w:val="Normal"/>
    <w:next w:val="Normal"/>
    <w:qFormat/>
    <w:rsid w:val="002541FF"/>
    <w:pPr>
      <w:keepNext/>
      <w:spacing w:before="240" w:after="6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EC5"/>
    <w:pPr>
      <w:tabs>
        <w:tab w:val="center" w:pos="4320"/>
        <w:tab w:val="right" w:pos="8640"/>
      </w:tabs>
    </w:pPr>
  </w:style>
  <w:style w:type="paragraph" w:styleId="BalloonText">
    <w:name w:val="Balloon Text"/>
    <w:basedOn w:val="Normal"/>
    <w:link w:val="BalloonTextChar"/>
    <w:uiPriority w:val="99"/>
    <w:semiHidden/>
    <w:unhideWhenUsed/>
    <w:rsid w:val="00055D8E"/>
    <w:rPr>
      <w:rFonts w:ascii="Lucida Grande" w:hAnsi="Lucida Grande"/>
      <w:szCs w:val="18"/>
    </w:rPr>
  </w:style>
  <w:style w:type="character" w:customStyle="1" w:styleId="BalloonTextChar">
    <w:name w:val="Balloon Text Char"/>
    <w:basedOn w:val="DefaultParagraphFont"/>
    <w:link w:val="BalloonText"/>
    <w:uiPriority w:val="99"/>
    <w:semiHidden/>
    <w:rsid w:val="00055D8E"/>
    <w:rPr>
      <w:rFonts w:ascii="Lucida Grande" w:hAnsi="Lucida Grande"/>
      <w:sz w:val="18"/>
      <w:szCs w:val="18"/>
    </w:rPr>
  </w:style>
  <w:style w:type="character" w:customStyle="1" w:styleId="FooterChar">
    <w:name w:val="Footer Char"/>
    <w:basedOn w:val="DefaultParagraphFont"/>
    <w:link w:val="Footer"/>
    <w:uiPriority w:val="99"/>
    <w:rsid w:val="001A48AA"/>
    <w:rPr>
      <w:rFonts w:ascii="Helvetica" w:hAnsi="Helvetica"/>
      <w:sz w:val="18"/>
      <w:szCs w:val="24"/>
    </w:rPr>
  </w:style>
  <w:style w:type="character" w:styleId="Hyperlink">
    <w:name w:val="Hyperlink"/>
    <w:basedOn w:val="DefaultParagraphFont"/>
    <w:uiPriority w:val="99"/>
    <w:unhideWhenUsed/>
    <w:rsid w:val="003417F0"/>
    <w:rPr>
      <w:color w:val="0000FF" w:themeColor="hyperlink"/>
      <w:u w:val="single"/>
    </w:rPr>
  </w:style>
  <w:style w:type="paragraph" w:styleId="ListParagraph">
    <w:name w:val="List Paragraph"/>
    <w:basedOn w:val="Normal"/>
    <w:uiPriority w:val="34"/>
    <w:qFormat/>
    <w:rsid w:val="003417F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417F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B006C"/>
    <w:pPr>
      <w:spacing w:after="240"/>
      <w:ind w:firstLine="720"/>
    </w:pPr>
    <w:rPr>
      <w:rFonts w:ascii="Times New Roman" w:hAnsi="Times New Roman"/>
      <w:noProof/>
      <w:sz w:val="24"/>
    </w:rPr>
  </w:style>
  <w:style w:type="character" w:customStyle="1" w:styleId="BodyTextChar">
    <w:name w:val="Body Text Char"/>
    <w:basedOn w:val="DefaultParagraphFont"/>
    <w:link w:val="BodyText"/>
    <w:semiHidden/>
    <w:rsid w:val="00CB006C"/>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FF"/>
    <w:rPr>
      <w:rFonts w:ascii="Helvetica" w:hAnsi="Helvetica"/>
      <w:sz w:val="18"/>
      <w:szCs w:val="24"/>
    </w:rPr>
  </w:style>
  <w:style w:type="paragraph" w:styleId="Heading1">
    <w:name w:val="heading 1"/>
    <w:basedOn w:val="Normal"/>
    <w:next w:val="Normal"/>
    <w:qFormat/>
    <w:rsid w:val="002541FF"/>
    <w:pPr>
      <w:keepNext/>
      <w:spacing w:before="240" w:after="60"/>
      <w:outlineLvl w:val="0"/>
    </w:pPr>
    <w:rPr>
      <w:color w:val="000080"/>
      <w:kern w:val="32"/>
      <w:sz w:val="28"/>
      <w:szCs w:val="32"/>
    </w:rPr>
  </w:style>
  <w:style w:type="paragraph" w:styleId="Heading2">
    <w:name w:val="heading 2"/>
    <w:basedOn w:val="Normal"/>
    <w:next w:val="Normal"/>
    <w:qFormat/>
    <w:rsid w:val="002541FF"/>
    <w:pPr>
      <w:keepNext/>
      <w:spacing w:before="240" w:after="60"/>
      <w:outlineLvl w:val="1"/>
    </w:pPr>
    <w:rPr>
      <w:sz w:val="24"/>
      <w:szCs w:val="28"/>
    </w:rPr>
  </w:style>
  <w:style w:type="paragraph" w:styleId="Heading3">
    <w:name w:val="heading 3"/>
    <w:basedOn w:val="Normal"/>
    <w:next w:val="Normal"/>
    <w:qFormat/>
    <w:rsid w:val="002541FF"/>
    <w:pPr>
      <w:keepNext/>
      <w:spacing w:before="240" w:after="6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EC5"/>
    <w:pPr>
      <w:tabs>
        <w:tab w:val="center" w:pos="4320"/>
        <w:tab w:val="right" w:pos="8640"/>
      </w:tabs>
    </w:pPr>
  </w:style>
  <w:style w:type="paragraph" w:styleId="BalloonText">
    <w:name w:val="Balloon Text"/>
    <w:basedOn w:val="Normal"/>
    <w:link w:val="BalloonTextChar"/>
    <w:uiPriority w:val="99"/>
    <w:semiHidden/>
    <w:unhideWhenUsed/>
    <w:rsid w:val="00055D8E"/>
    <w:rPr>
      <w:rFonts w:ascii="Lucida Grande" w:hAnsi="Lucida Grande"/>
      <w:szCs w:val="18"/>
    </w:rPr>
  </w:style>
  <w:style w:type="character" w:customStyle="1" w:styleId="BalloonTextChar">
    <w:name w:val="Balloon Text Char"/>
    <w:basedOn w:val="DefaultParagraphFont"/>
    <w:link w:val="BalloonText"/>
    <w:uiPriority w:val="99"/>
    <w:semiHidden/>
    <w:rsid w:val="00055D8E"/>
    <w:rPr>
      <w:rFonts w:ascii="Lucida Grande" w:hAnsi="Lucida Grande"/>
      <w:sz w:val="18"/>
      <w:szCs w:val="18"/>
    </w:rPr>
  </w:style>
  <w:style w:type="character" w:customStyle="1" w:styleId="FooterChar">
    <w:name w:val="Footer Char"/>
    <w:basedOn w:val="DefaultParagraphFont"/>
    <w:link w:val="Footer"/>
    <w:uiPriority w:val="99"/>
    <w:rsid w:val="001A48AA"/>
    <w:rPr>
      <w:rFonts w:ascii="Helvetica" w:hAnsi="Helvetica"/>
      <w:sz w:val="18"/>
      <w:szCs w:val="24"/>
    </w:rPr>
  </w:style>
  <w:style w:type="character" w:styleId="Hyperlink">
    <w:name w:val="Hyperlink"/>
    <w:basedOn w:val="DefaultParagraphFont"/>
    <w:uiPriority w:val="99"/>
    <w:unhideWhenUsed/>
    <w:rsid w:val="003417F0"/>
    <w:rPr>
      <w:color w:val="0000FF" w:themeColor="hyperlink"/>
      <w:u w:val="single"/>
    </w:rPr>
  </w:style>
  <w:style w:type="paragraph" w:styleId="ListParagraph">
    <w:name w:val="List Paragraph"/>
    <w:basedOn w:val="Normal"/>
    <w:uiPriority w:val="34"/>
    <w:qFormat/>
    <w:rsid w:val="003417F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417F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B006C"/>
    <w:pPr>
      <w:spacing w:after="240"/>
      <w:ind w:firstLine="720"/>
    </w:pPr>
    <w:rPr>
      <w:rFonts w:ascii="Times New Roman" w:hAnsi="Times New Roman"/>
      <w:noProof/>
      <w:sz w:val="24"/>
    </w:rPr>
  </w:style>
  <w:style w:type="character" w:customStyle="1" w:styleId="BodyTextChar">
    <w:name w:val="Body Text Char"/>
    <w:basedOn w:val="DefaultParagraphFont"/>
    <w:link w:val="BodyText"/>
    <w:semiHidden/>
    <w:rsid w:val="00CB006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kurtinlaw.com" TargetMode="External"/><Relationship Id="rId4" Type="http://schemas.microsoft.com/office/2007/relationships/stylesWithEffects" Target="stylesWithEffects.xml"/><Relationship Id="rId9" Type="http://schemas.openxmlformats.org/officeDocument/2006/relationships/hyperlink" Target="http://www.kurtinlaw.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K\Dropbox\Kurtin%20PLLC\Marketing\2018%20Articles,%20Advisories,%20White%20Papers\Templates\Kurtin%20PLLC%20Deal%20Points-Advisory%20Word%20Template%202018%20Blue%20Header%20-%20Simple%20Footer-page%20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C78E-FF2D-44B7-A63D-61726C28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Kurtin PLLC Deal Points-Advisory Word Template 2018 Blue Header - Simple Footer-page numbers</Template>
  <TotalTime>19</TotalTime>
  <Pages>14</Pages>
  <Words>3742</Words>
  <Characters>21145</Characters>
  <Application>Microsoft Office Word</Application>
  <DocSecurity>0</DocSecurity>
  <Lines>1112</Lines>
  <Paragraphs>273</Paragraphs>
  <ScaleCrop>false</ScaleCrop>
  <HeadingPairs>
    <vt:vector size="2" baseType="variant">
      <vt:variant>
        <vt:lpstr>Title</vt:lpstr>
      </vt:variant>
      <vt:variant>
        <vt:i4>1</vt:i4>
      </vt:variant>
    </vt:vector>
  </HeadingPairs>
  <TitlesOfParts>
    <vt:vector size="1" baseType="lpstr">
      <vt:lpstr>¬¬¬Header goes here</vt:lpstr>
    </vt:vector>
  </TitlesOfParts>
  <Company>Hanee Designs</Company>
  <LinksUpToDate>false</LinksUpToDate>
  <CharactersWithSpaces>24614</CharactersWithSpaces>
  <SharedDoc>false</SharedDoc>
  <HLinks>
    <vt:vector size="30" baseType="variant">
      <vt:variant>
        <vt:i4>458832</vt:i4>
      </vt:variant>
      <vt:variant>
        <vt:i4>1541</vt:i4>
      </vt:variant>
      <vt:variant>
        <vt:i4>1025</vt:i4>
      </vt:variant>
      <vt:variant>
        <vt:i4>1</vt:i4>
      </vt:variant>
      <vt:variant>
        <vt:lpwstr>kurtinLaw-header</vt:lpwstr>
      </vt:variant>
      <vt:variant>
        <vt:lpwstr/>
      </vt:variant>
      <vt:variant>
        <vt:i4>458826</vt:i4>
      </vt:variant>
      <vt:variant>
        <vt:i4>1544</vt:i4>
      </vt:variant>
      <vt:variant>
        <vt:i4>1026</vt:i4>
      </vt:variant>
      <vt:variant>
        <vt:i4>1</vt:i4>
      </vt:variant>
      <vt:variant>
        <vt:lpwstr>kurtinLaw-footer</vt:lpwstr>
      </vt:variant>
      <vt:variant>
        <vt:lpwstr/>
      </vt:variant>
      <vt:variant>
        <vt:i4>8060955</vt:i4>
      </vt:variant>
      <vt:variant>
        <vt:i4>-1</vt:i4>
      </vt:variant>
      <vt:variant>
        <vt:i4>2055</vt:i4>
      </vt:variant>
      <vt:variant>
        <vt:i4>1</vt:i4>
      </vt:variant>
      <vt:variant>
        <vt:lpwstr>watermark</vt:lpwstr>
      </vt:variant>
      <vt:variant>
        <vt:lpwstr/>
      </vt:variant>
      <vt:variant>
        <vt:i4>8060955</vt:i4>
      </vt:variant>
      <vt:variant>
        <vt:i4>-1</vt:i4>
      </vt:variant>
      <vt:variant>
        <vt:i4>2056</vt:i4>
      </vt:variant>
      <vt:variant>
        <vt:i4>1</vt:i4>
      </vt:variant>
      <vt:variant>
        <vt:lpwstr>watermark</vt:lpwstr>
      </vt:variant>
      <vt:variant>
        <vt:lpwstr/>
      </vt:variant>
      <vt:variant>
        <vt:i4>8060955</vt:i4>
      </vt:variant>
      <vt:variant>
        <vt:i4>-1</vt:i4>
      </vt:variant>
      <vt:variant>
        <vt:i4>2057</vt:i4>
      </vt:variant>
      <vt:variant>
        <vt:i4>1</vt:i4>
      </vt:variant>
      <vt:variant>
        <vt:lpwstr>watermark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goes here</dc:title>
  <dc:creator>ODK</dc:creator>
  <cp:lastModifiedBy>ODK</cp:lastModifiedBy>
  <cp:revision>6</cp:revision>
  <cp:lastPrinted>2010-06-07T15:11:00Z</cp:lastPrinted>
  <dcterms:created xsi:type="dcterms:W3CDTF">2018-01-28T17:35:00Z</dcterms:created>
  <dcterms:modified xsi:type="dcterms:W3CDTF">2018-01-28T18:13:00Z</dcterms:modified>
</cp:coreProperties>
</file>